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5D" w:rsidRDefault="005E075D" w:rsidP="005E075D">
      <w:pPr>
        <w:pStyle w:val="ConsPlusNormal"/>
        <w:jc w:val="both"/>
      </w:pPr>
    </w:p>
    <w:p w:rsidR="005E075D" w:rsidRPr="00E361DC" w:rsidRDefault="005E075D" w:rsidP="005E075D">
      <w:pPr>
        <w:pStyle w:val="ConsPlusTitle"/>
        <w:jc w:val="center"/>
        <w:rPr>
          <w:rFonts w:ascii="Times New Roman" w:hAnsi="Times New Roman" w:cs="Times New Roman"/>
        </w:rPr>
      </w:pPr>
      <w:bookmarkStart w:id="0" w:name="Par283"/>
      <w:bookmarkEnd w:id="0"/>
      <w:r w:rsidRPr="00E361DC">
        <w:rPr>
          <w:rFonts w:ascii="Times New Roman" w:hAnsi="Times New Roman" w:cs="Times New Roman"/>
        </w:rPr>
        <w:t>ПЕРЕЧЕНЬ ОСНОВНЫХ И ИНЫХ ФОРМ ГЧП</w:t>
      </w:r>
    </w:p>
    <w:p w:rsidR="005E075D" w:rsidRPr="00E361DC" w:rsidRDefault="00E361DC" w:rsidP="005E075D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E361DC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E075D" w:rsidRPr="00E361DC">
        <w:rPr>
          <w:rFonts w:ascii="Times New Roman" w:hAnsi="Times New Roman" w:cs="Times New Roman"/>
          <w:b w:val="0"/>
          <w:sz w:val="20"/>
          <w:szCs w:val="20"/>
        </w:rPr>
        <w:t>(в соответствии с приказом Минэкономразвития России от 19 декабря 2019 г. N 816)</w:t>
      </w:r>
    </w:p>
    <w:p w:rsidR="005E075D" w:rsidRDefault="005E075D" w:rsidP="005E075D">
      <w:pPr>
        <w:pStyle w:val="ConsPlusNormal"/>
      </w:pPr>
    </w:p>
    <w:p w:rsidR="005E075D" w:rsidRPr="005E075D" w:rsidRDefault="005E075D" w:rsidP="005E075D">
      <w:pPr>
        <w:pStyle w:val="ConsPlusNormal"/>
        <w:ind w:firstLine="540"/>
        <w:jc w:val="both"/>
        <w:rPr>
          <w:b/>
          <w:u w:val="single"/>
        </w:rPr>
      </w:pPr>
      <w:bookmarkStart w:id="1" w:name="_GoBack"/>
      <w:bookmarkEnd w:id="1"/>
      <w:r>
        <w:t xml:space="preserve"> </w:t>
      </w:r>
      <w:r w:rsidRPr="005E075D">
        <w:rPr>
          <w:b/>
          <w:u w:val="single"/>
        </w:rPr>
        <w:t>К основным формам относятся: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а) </w:t>
      </w:r>
      <w:r w:rsidRPr="005E075D">
        <w:rPr>
          <w:b/>
          <w:i/>
        </w:rPr>
        <w:t>концессионное соглашение</w:t>
      </w:r>
      <w:r>
        <w:t xml:space="preserve"> (заключаемое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21 июля 2005 г. </w:t>
      </w:r>
      <w:r w:rsidR="00E361DC">
        <w:t>№</w:t>
      </w:r>
      <w:r>
        <w:t xml:space="preserve"> 115-ФЗ "О концессионных соглашениях");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б) </w:t>
      </w:r>
      <w:r w:rsidRPr="005E075D">
        <w:rPr>
          <w:b/>
          <w:i/>
        </w:rPr>
        <w:t>соглашение о государственно-частном</w:t>
      </w:r>
      <w:r>
        <w:t xml:space="preserve">, </w:t>
      </w:r>
      <w:proofErr w:type="spellStart"/>
      <w:r w:rsidRPr="005E075D">
        <w:rPr>
          <w:b/>
          <w:i/>
        </w:rPr>
        <w:t>муниципально</w:t>
      </w:r>
      <w:proofErr w:type="spellEnd"/>
      <w:r w:rsidRPr="005E075D">
        <w:rPr>
          <w:b/>
          <w:i/>
        </w:rPr>
        <w:t>-частном партнерстве</w:t>
      </w:r>
      <w:r>
        <w:t xml:space="preserve"> (заключаемое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</w:t>
      </w:r>
      <w:r w:rsidR="00E361DC">
        <w:t>№</w:t>
      </w:r>
      <w:r>
        <w:t xml:space="preserve">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Закон </w:t>
      </w:r>
      <w:r w:rsidR="00E361DC">
        <w:t>№</w:t>
      </w:r>
      <w:r>
        <w:t xml:space="preserve"> 224-ФЗ);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в) </w:t>
      </w:r>
      <w:r w:rsidRPr="005E075D">
        <w:rPr>
          <w:b/>
          <w:i/>
        </w:rPr>
        <w:t xml:space="preserve">соглашение о государственно-частном, </w:t>
      </w:r>
      <w:proofErr w:type="spellStart"/>
      <w:r w:rsidRPr="005E075D">
        <w:rPr>
          <w:b/>
          <w:i/>
        </w:rPr>
        <w:t>муниципально</w:t>
      </w:r>
      <w:proofErr w:type="spellEnd"/>
      <w:r w:rsidRPr="005E075D">
        <w:rPr>
          <w:b/>
          <w:i/>
        </w:rPr>
        <w:t>-частном партнерстве</w:t>
      </w:r>
      <w:r>
        <w:t xml:space="preserve"> (заключенное в соответствии с законодательством субъекта Российской Федерации до вступления в силу </w:t>
      </w:r>
      <w:hyperlink r:id="rId7" w:history="1">
        <w:r>
          <w:rPr>
            <w:color w:val="0000FF"/>
          </w:rPr>
          <w:t>Закона</w:t>
        </w:r>
      </w:hyperlink>
      <w:r>
        <w:t xml:space="preserve"> </w:t>
      </w:r>
      <w:r w:rsidR="00E361DC">
        <w:t>№</w:t>
      </w:r>
      <w:r>
        <w:t xml:space="preserve"> 224-ФЗ). 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 </w:t>
      </w:r>
      <w:r w:rsidRPr="005E075D">
        <w:rPr>
          <w:b/>
          <w:u w:val="single"/>
        </w:rPr>
        <w:t>К иным формам относятся: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а) </w:t>
      </w:r>
      <w:r w:rsidRPr="005E075D">
        <w:rPr>
          <w:b/>
          <w:i/>
        </w:rPr>
        <w:t>контракт жизненного цикла</w:t>
      </w:r>
      <w:r>
        <w:t xml:space="preserve"> (заключаемый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г. </w:t>
      </w:r>
      <w:r w:rsidR="00E361DC"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E361DC">
        <w:t xml:space="preserve">    №</w:t>
      </w:r>
      <w:r>
        <w:t xml:space="preserve"> 44-ФЗ);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б) </w:t>
      </w:r>
      <w:r w:rsidRPr="005E075D">
        <w:rPr>
          <w:b/>
          <w:i/>
        </w:rPr>
        <w:t>долгосрочный договор с инвестиционными обязательствами</w:t>
      </w:r>
      <w:r>
        <w:t xml:space="preserve"> (заключаемый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</w:t>
      </w:r>
      <w:r w:rsidR="00E361DC">
        <w:t xml:space="preserve">№ </w:t>
      </w:r>
      <w:r>
        <w:t>223-ФЗ "О закупках товаров, работ, услуг отдельными видами юридических лиц");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в) </w:t>
      </w:r>
      <w:r w:rsidRPr="005E075D">
        <w:rPr>
          <w:b/>
          <w:i/>
        </w:rPr>
        <w:t>договор аренды с инвестиционными обязательствами</w:t>
      </w:r>
      <w:r>
        <w:t xml:space="preserve">, стороной в котором является орган власти (заключаемый в соответствии с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г) </w:t>
      </w:r>
      <w:proofErr w:type="spellStart"/>
      <w:r w:rsidRPr="005E075D">
        <w:rPr>
          <w:b/>
          <w:i/>
        </w:rPr>
        <w:t>энергосервисный</w:t>
      </w:r>
      <w:proofErr w:type="spellEnd"/>
      <w:r w:rsidRPr="005E075D">
        <w:rPr>
          <w:b/>
          <w:i/>
        </w:rPr>
        <w:t xml:space="preserve"> контракт</w:t>
      </w:r>
      <w:r>
        <w:t xml:space="preserve">, предметом которого является совершение исполнителем действий, направленных на энергосбережение и повышение энергетической эффективности использования энергетических ресурсов (заключаемый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</w:t>
      </w:r>
      <w:r w:rsidR="00E361DC">
        <w:t>№</w:t>
      </w:r>
      <w:r>
        <w:t xml:space="preserve"> 44-ФЗ);</w:t>
      </w:r>
    </w:p>
    <w:p w:rsidR="005E075D" w:rsidRDefault="005E075D" w:rsidP="005E075D">
      <w:pPr>
        <w:pStyle w:val="ConsPlusNormal"/>
        <w:ind w:firstLine="540"/>
        <w:jc w:val="both"/>
      </w:pPr>
      <w:r>
        <w:t>д) государственный контракт на поставку товара, предусматривающий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 (</w:t>
      </w:r>
      <w:r w:rsidRPr="005E075D">
        <w:rPr>
          <w:b/>
          <w:i/>
        </w:rPr>
        <w:t>договор офсетной закупки</w:t>
      </w:r>
      <w:r>
        <w:t xml:space="preserve">, заключаемый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</w:t>
      </w:r>
      <w:r w:rsidR="00E361DC">
        <w:t xml:space="preserve">             №</w:t>
      </w:r>
      <w:r>
        <w:t xml:space="preserve"> 44-ФЗ);</w:t>
      </w:r>
    </w:p>
    <w:p w:rsidR="005E075D" w:rsidRDefault="005E075D" w:rsidP="005E075D">
      <w:pPr>
        <w:pStyle w:val="ConsPlusNormal"/>
        <w:ind w:firstLine="540"/>
        <w:jc w:val="both"/>
      </w:pPr>
      <w:r>
        <w:t xml:space="preserve">е) </w:t>
      </w:r>
      <w:r w:rsidRPr="005E075D">
        <w:rPr>
          <w:b/>
          <w:i/>
        </w:rPr>
        <w:t>специальный инвестиционный контракт</w:t>
      </w:r>
      <w:r>
        <w:t xml:space="preserve">, стороной в котором не является Российская Федерация (заключаемый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31 декабря 2014 г. </w:t>
      </w:r>
      <w:r w:rsidR="00E361DC">
        <w:t>№</w:t>
      </w:r>
      <w:r>
        <w:t xml:space="preserve"> 488-ФЗ "О промышленной политике в Российской Федерации");</w:t>
      </w:r>
    </w:p>
    <w:p w:rsidR="005E075D" w:rsidRDefault="008C3909" w:rsidP="005E075D">
      <w:pPr>
        <w:pStyle w:val="ConsPlusNormal"/>
        <w:ind w:firstLine="540"/>
        <w:jc w:val="both"/>
      </w:pPr>
      <w:r>
        <w:t>ж</w:t>
      </w:r>
      <w:r w:rsidR="005E075D">
        <w:t xml:space="preserve">) </w:t>
      </w:r>
      <w:r w:rsidR="005E075D" w:rsidRPr="008C3909">
        <w:rPr>
          <w:b/>
          <w:i/>
        </w:rPr>
        <w:t>совместное предприятие</w:t>
      </w:r>
      <w:r w:rsidR="005E075D">
        <w:t>, соответствующее следующим условиям:</w:t>
      </w:r>
    </w:p>
    <w:p w:rsidR="005E075D" w:rsidRDefault="005E075D" w:rsidP="005E075D">
      <w:pPr>
        <w:pStyle w:val="ConsPlusNormal"/>
        <w:ind w:firstLine="540"/>
        <w:jc w:val="both"/>
      </w:pPr>
      <w:proofErr w:type="gramStart"/>
      <w:r>
        <w:t>является юридическим лицом, специально созданным в целях реализации инвестиционного проекта по созданию, реконструкции и модернизации недвижимого и движимого имущества и созданию результатов интеллектуальной деятельности (далее - инвестиционный проект) либо владеющим недвижимым и (или) движимым имуществом, в отношении которого предполагается осуществление инвестиционных мероприятий (реконструкция, модернизация);</w:t>
      </w:r>
      <w:proofErr w:type="gramEnd"/>
    </w:p>
    <w:p w:rsidR="005E075D" w:rsidRDefault="005E075D" w:rsidP="005E075D">
      <w:pPr>
        <w:pStyle w:val="ConsPlusNormal"/>
        <w:ind w:firstLine="540"/>
        <w:jc w:val="both"/>
      </w:pPr>
      <w:r>
        <w:t>до реализации инвестиционных мероприятий 50 и более процентов уставного капитала юридического лица находится в прямом или косвенном владении органа власти;</w:t>
      </w:r>
    </w:p>
    <w:p w:rsidR="005E075D" w:rsidRDefault="005E075D" w:rsidP="005E075D">
      <w:pPr>
        <w:pStyle w:val="ConsPlusNormal"/>
        <w:ind w:firstLine="540"/>
        <w:jc w:val="both"/>
      </w:pPr>
      <w:r>
        <w:t>после реализации инвестиционных мероприятий доля органа власти в уставном капитале юридического лица составляет менее 50 процентов;</w:t>
      </w:r>
    </w:p>
    <w:p w:rsidR="005E075D" w:rsidRDefault="005E075D" w:rsidP="005E075D">
      <w:pPr>
        <w:pStyle w:val="ConsPlusNormal"/>
        <w:ind w:firstLine="540"/>
        <w:jc w:val="both"/>
      </w:pPr>
      <w:r>
        <w:t>на хозяйствующий субъект, привлеченный в целях реализации инвестиционного проекта и владеющий долей в уставном капитале юридического лица, возложены инвестиционные обязательства, предусмотренные договором;</w:t>
      </w:r>
    </w:p>
    <w:p w:rsidR="005E075D" w:rsidRDefault="005E075D" w:rsidP="005E075D">
      <w:pPr>
        <w:pStyle w:val="ConsPlusNormal"/>
        <w:ind w:firstLine="540"/>
        <w:jc w:val="both"/>
      </w:pPr>
      <w:r>
        <w:t>орган власти соответствующего уровня предоставляет такому юридическому лицу меры поддержки, в том числе предоставление в аренду земельных участков, предостав</w:t>
      </w:r>
      <w:r w:rsidR="008C3909">
        <w:t>ление льгот по налогам и сборам.</w:t>
      </w:r>
    </w:p>
    <w:p w:rsidR="00B15929" w:rsidRDefault="00B15929">
      <w:bookmarkStart w:id="2" w:name="Par310"/>
      <w:bookmarkEnd w:id="2"/>
    </w:p>
    <w:sectPr w:rsidR="00B15929" w:rsidSect="00E361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5D"/>
    <w:rsid w:val="0026099F"/>
    <w:rsid w:val="004B15DB"/>
    <w:rsid w:val="005E075D"/>
    <w:rsid w:val="006645A7"/>
    <w:rsid w:val="008C3909"/>
    <w:rsid w:val="00A50AF7"/>
    <w:rsid w:val="00B15929"/>
    <w:rsid w:val="00B529DF"/>
    <w:rsid w:val="00E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E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1&amp;date=12.10.2021&amp;demo=1" TargetMode="External"/><Relationship Id="rId13" Type="http://schemas.openxmlformats.org/officeDocument/2006/relationships/hyperlink" Target="https://login.consultant.ru/link/?req=doc&amp;base=LAW&amp;n=357899&amp;date=12.10.2021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739&amp;date=12.10.2021&amp;demo=1" TargetMode="External"/><Relationship Id="rId12" Type="http://schemas.openxmlformats.org/officeDocument/2006/relationships/hyperlink" Target="https://login.consultant.ru/link/?req=doc&amp;base=LAW&amp;n=358821&amp;date=12.10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739&amp;date=12.10.2021&amp;demo=1" TargetMode="External"/><Relationship Id="rId11" Type="http://schemas.openxmlformats.org/officeDocument/2006/relationships/hyperlink" Target="https://login.consultant.ru/link/?req=doc&amp;base=LAW&amp;n=358821&amp;date=12.10.2021&amp;demo=1" TargetMode="External"/><Relationship Id="rId5" Type="http://schemas.openxmlformats.org/officeDocument/2006/relationships/hyperlink" Target="https://login.consultant.ru/link/?req=doc&amp;base=LAW&amp;n=370198&amp;date=12.10.2021&amp;dem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534&amp;date=12.10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39&amp;date=12.10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Пользователь</cp:lastModifiedBy>
  <cp:revision>2</cp:revision>
  <dcterms:created xsi:type="dcterms:W3CDTF">2022-01-11T06:27:00Z</dcterms:created>
  <dcterms:modified xsi:type="dcterms:W3CDTF">2022-01-11T06:27:00Z</dcterms:modified>
</cp:coreProperties>
</file>