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строительства, ЖКХ </w:t>
      </w:r>
      <w:r>
        <w:rPr>
          <w:color w:val="000000"/>
          <w:sz w:val="24"/>
          <w:szCs w:val="24"/>
        </w:rPr>
        <w:t xml:space="preserve">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управления строительства, ЖКХ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управления строительства, ЖКХ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особенностей управления жилищным и коммунальным хозяйством и градостроительной деятельностью;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состава и классификации отраслей коммунального хозяйства населенного пункта</w:t>
            </w:r>
            <w:r>
              <w:rPr>
                <w:rFonts w:ascii="STIX" w:hAnsi="STIX" w:cs="STIX" w:eastAsia="STIX"/>
                <w:highlight w:val="white"/>
              </w:rPr>
              <w:t xml:space="preserve">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порядка организации строительства и содержания муниципального жилищного фонда;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правил землепользования и застройки;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правил промышленной безопасности, пожарной безопасности и охраны труда;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основ технического нормирования, технологии и организации строительства и жилищно-коммунального хозяйства;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понятие нормативно-технической и проектной документации;</w:t>
            </w:r>
            <w:r>
              <w:rPr>
                <w:rFonts w:ascii="STIX" w:hAnsi="STIX" w:cs="STIX" w:eastAsia="STIX"/>
              </w:rPr>
            </w:r>
          </w:p>
          <w:p>
            <w:pPr>
              <w:pStyle w:val="845"/>
              <w:rPr>
                <w:rFonts w:ascii="STIX" w:hAnsi="STIX" w:cs="STIX" w:eastAsia="STIX"/>
              </w:rPr>
            </w:pPr>
            <w:r>
              <w:rPr>
                <w:rFonts w:ascii="STIX" w:hAnsi="STIX" w:cs="STIX" w:eastAsia="STIX"/>
                <w:highlight w:val="white"/>
              </w:rPr>
              <w:t xml:space="preserve">- основных методов и порядка осуществления муниципального жилищного контроля</w:t>
            </w:r>
            <w:r>
              <w:rPr>
                <w:rFonts w:ascii="STIX" w:hAnsi="STIX" w:cs="STIX" w:eastAsia="STIX"/>
                <w:szCs w:val="24"/>
                <w:highlight w:val="none"/>
              </w:rPr>
            </w:r>
            <w:r>
              <w:rPr>
                <w:rFonts w:ascii="STIX" w:hAnsi="STIX" w:cs="STIX" w:eastAsia="STIX"/>
                <w:szCs w:val="24"/>
                <w:highlight w:val="none"/>
              </w:rPr>
            </w:r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06 </w:t>
      </w:r>
      <w:r>
        <w:rPr>
          <w:sz w:val="24"/>
          <w:szCs w:val="24"/>
        </w:rPr>
        <w:t xml:space="preserve">февраля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2</w:t>
      </w:r>
      <w:r>
        <w:rPr>
          <w:sz w:val="24"/>
          <w:szCs w:val="24"/>
        </w:rPr>
        <w:t xml:space="preserve">6</w:t>
      </w:r>
      <w:bookmarkStart w:id="0" w:name="_GoBack"/>
      <w:r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IX"/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14</cp:revision>
  <dcterms:created xsi:type="dcterms:W3CDTF">2019-03-26T05:45:00Z</dcterms:created>
  <dcterms:modified xsi:type="dcterms:W3CDTF">2023-02-06T10:30:23Z</dcterms:modified>
</cp:coreProperties>
</file>