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B" w:rsidRDefault="00BC0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 о проведении конкурса на замещение вакантной должности муниципальной службы Вейделевского района</w:t>
      </w:r>
    </w:p>
    <w:p w:rsidR="00B71D1B" w:rsidRDefault="00B71D1B">
      <w:pPr>
        <w:jc w:val="center"/>
        <w:rPr>
          <w:b/>
          <w:spacing w:val="-9"/>
          <w:sz w:val="24"/>
          <w:szCs w:val="24"/>
        </w:rPr>
      </w:pPr>
    </w:p>
    <w:p w:rsidR="00B71D1B" w:rsidRDefault="00BC01CA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замещение вакантной должности муниципальной службы: </w:t>
      </w:r>
    </w:p>
    <w:p w:rsidR="00B71D1B" w:rsidRDefault="00F453B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B49A7">
        <w:rPr>
          <w:color w:val="000000"/>
          <w:sz w:val="24"/>
          <w:szCs w:val="24"/>
        </w:rPr>
        <w:t>ачальник экономического отдела управления экономического развития и прогнозирования а</w:t>
      </w:r>
      <w:r w:rsidR="00BC01CA">
        <w:rPr>
          <w:color w:val="000000"/>
          <w:sz w:val="24"/>
          <w:szCs w:val="24"/>
        </w:rPr>
        <w:t>дминистрации Вейделевского района;</w:t>
      </w:r>
    </w:p>
    <w:p w:rsidR="00B71D1B" w:rsidRDefault="00BC01C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B71D1B" w:rsidRDefault="00BC01CA"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а) личное заявление на имя представителя нанимателя;</w:t>
      </w:r>
    </w:p>
    <w:p w:rsidR="00B71D1B" w:rsidRDefault="00BC01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 собственноручно заполненная и подписанная анкета установленной формы с приложением фотографии (размер фотографии 3x4 см.);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г) документы, подтверждающие необходимое профессиональное образование, стаж (опыт) работы по специальности и квалификацию: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копия трудовой книжки или иные документы, подтверждающие трудовую (служебную) деятельность гражданина;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е) копия документа воинского учета (для военнообязанных и лиц, подлежащих призыву на военную службу);</w:t>
      </w:r>
    </w:p>
    <w:p w:rsidR="00B71D1B" w:rsidRDefault="00BC01CA"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ж) 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71D1B" w:rsidRDefault="00B71D1B">
      <w:pPr>
        <w:ind w:firstLine="708"/>
        <w:jc w:val="both"/>
        <w:rPr>
          <w:sz w:val="24"/>
          <w:szCs w:val="24"/>
        </w:rPr>
      </w:pPr>
    </w:p>
    <w:p w:rsidR="00B71D1B" w:rsidRDefault="00BC01C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B71D1B" w:rsidRDefault="00B71D1B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B71D1B">
        <w:tc>
          <w:tcPr>
            <w:tcW w:w="675" w:type="dxa"/>
            <w:vAlign w:val="center"/>
          </w:tcPr>
          <w:p w:rsidR="00B71D1B" w:rsidRDefault="00BC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0" w:type="dxa"/>
            <w:vAlign w:val="center"/>
          </w:tcPr>
          <w:p w:rsidR="00B71D1B" w:rsidRDefault="00BC0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vAlign w:val="center"/>
          </w:tcPr>
          <w:p w:rsidR="00B71D1B" w:rsidRDefault="00BC0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B71D1B" w:rsidRDefault="00BC0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B71D1B">
        <w:tc>
          <w:tcPr>
            <w:tcW w:w="675" w:type="dxa"/>
            <w:vAlign w:val="center"/>
          </w:tcPr>
          <w:p w:rsidR="00B71D1B" w:rsidRDefault="00BC0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B71D1B" w:rsidRDefault="00F4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B49A7">
              <w:rPr>
                <w:color w:val="000000"/>
                <w:sz w:val="24"/>
                <w:szCs w:val="24"/>
              </w:rPr>
              <w:t>ачальник экономического отдела управления экономического развития и прогнозирования администрации Вейделевского района</w:t>
            </w:r>
          </w:p>
        </w:tc>
        <w:tc>
          <w:tcPr>
            <w:tcW w:w="2835" w:type="dxa"/>
          </w:tcPr>
          <w:p w:rsidR="00B71D1B" w:rsidRDefault="00BC01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B71D1B" w:rsidRDefault="00BC01CA">
            <w:r>
              <w:rPr>
                <w:color w:val="000000"/>
                <w:sz w:val="24"/>
                <w:szCs w:val="24"/>
              </w:rPr>
              <w:t>Стаж муниципальной (государственной) службы или стаж работы по специальности не менее 3 лет</w:t>
            </w:r>
          </w:p>
        </w:tc>
      </w:tr>
    </w:tbl>
    <w:p w:rsidR="00B71D1B" w:rsidRDefault="00B71D1B">
      <w:pPr>
        <w:rPr>
          <w:b/>
          <w:bCs/>
          <w:color w:val="000000"/>
          <w:sz w:val="24"/>
          <w:szCs w:val="24"/>
        </w:rPr>
      </w:pPr>
    </w:p>
    <w:p w:rsidR="00B71D1B" w:rsidRDefault="00BC01C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B71D1B" w:rsidRDefault="00B71D1B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B71D1B">
        <w:tc>
          <w:tcPr>
            <w:tcW w:w="675" w:type="dxa"/>
            <w:vAlign w:val="center"/>
          </w:tcPr>
          <w:p w:rsidR="00B71D1B" w:rsidRDefault="00BC01C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71D1B" w:rsidRDefault="00BC0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5528" w:type="dxa"/>
            <w:vAlign w:val="center"/>
          </w:tcPr>
          <w:p w:rsidR="00B71D1B" w:rsidRDefault="00BC01C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B71D1B" w:rsidRDefault="00BC01C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B71D1B">
        <w:tc>
          <w:tcPr>
            <w:tcW w:w="14708" w:type="dxa"/>
            <w:gridSpan w:val="4"/>
            <w:vAlign w:val="center"/>
          </w:tcPr>
          <w:p w:rsidR="00B71D1B" w:rsidRDefault="00BC01C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«высшая»</w:t>
            </w:r>
          </w:p>
        </w:tc>
      </w:tr>
      <w:tr w:rsidR="00B71D1B">
        <w:tc>
          <w:tcPr>
            <w:tcW w:w="675" w:type="dxa"/>
          </w:tcPr>
          <w:p w:rsidR="00B71D1B" w:rsidRDefault="00BC0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71D1B" w:rsidRDefault="00F4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B49A7">
              <w:rPr>
                <w:color w:val="000000"/>
                <w:sz w:val="24"/>
                <w:szCs w:val="24"/>
              </w:rPr>
              <w:t xml:space="preserve">ачальник экономического отдела управления </w:t>
            </w:r>
            <w:r w:rsidR="00EB49A7">
              <w:rPr>
                <w:color w:val="000000"/>
                <w:sz w:val="24"/>
                <w:szCs w:val="24"/>
              </w:rPr>
              <w:lastRenderedPageBreak/>
              <w:t>экономического развития и прогнозирования администрации Вейделевского района</w:t>
            </w:r>
          </w:p>
        </w:tc>
        <w:tc>
          <w:tcPr>
            <w:tcW w:w="5528" w:type="dxa"/>
          </w:tcPr>
          <w:p w:rsidR="00B71D1B" w:rsidRDefault="00BC01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Знание Конституции РФ, Федерального Закона «О муниципальной службе в Российской Федерации» </w:t>
            </w:r>
            <w:r>
              <w:rPr>
                <w:color w:val="000000"/>
                <w:sz w:val="24"/>
                <w:szCs w:val="24"/>
              </w:rPr>
              <w:lastRenderedPageBreak/>
              <w:t>от 02.03.2007г. №25-ФЗ Закона Белгородской области «Об особенностях организации муниципальной службы в Белгородской области» от 24.09.2007г.№ 150.</w:t>
            </w:r>
          </w:p>
        </w:tc>
        <w:tc>
          <w:tcPr>
            <w:tcW w:w="4961" w:type="dxa"/>
          </w:tcPr>
          <w:p w:rsidR="00B71D1B" w:rsidRDefault="00BC01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Навыки: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</w:t>
            </w:r>
            <w:r w:rsidRPr="00534886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Устава Белгородской области, основ федерального и областного законодательства о муниципальной службе, Устава муниципального района «Вейделевский район»;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534886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Способность логически верно, аргументировано и ясно </w:t>
            </w:r>
            <w:proofErr w:type="gramStart"/>
            <w:r w:rsidRPr="00534886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устную и письменную речь;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Грамотное  написание текста на русском языке;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86">
              <w:rPr>
                <w:rFonts w:ascii="Times New Roman" w:hAnsi="Times New Roman"/>
                <w:sz w:val="24"/>
                <w:szCs w:val="24"/>
              </w:rPr>
              <w:t>Специальные профессиональные знания и навыки: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представлять образ будущей ситуации, разрабатывать стратегии развития социальных сегментов;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принимать решения, основанные на широком круге факторов, анализировать возможные последствия решений, готовность брать ответственность за результат;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управлять своим временем и временем подчиненных для достижения оптимального результата путем рационального распределения обязанностей, делегирования полномочий, расстановки приоритетов;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определять задачи, распределять их, расставляя приоритеты, контролировать ход выполнения отдельных заданий, в том числе сроки, создавать систему правил и норм, приводящую к достижению результата;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 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Способность последовательно контролировать исполнение, осуществлять корректирующие действия в случае возникновения проблем, умение выбирать форму контроля в зависимости от компетентности сотрудника, умение оценивать процесс достижения результата подчиненными;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Знание путей развития общества и государства, восприятие ситуаций и решение задач с позиции государственных приоритетов;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Следование социальным стандартам и требованиям служебной этики;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 информацию, выделяя главное, мыслить вариативно, предлагая несколько различных решений проблем;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Видение взаимосвязей между элементами и умение находить оптимальное решение;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Готовность нести ответственность за свои решения и решения своих подчиненных;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>Постоянное профессионально-квалификационное развитие, в том числе посредством самообразования, развитие своих подчиненных, в том числе путем предоставления практической поддержки и помощи;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проводить совещания, убеждать, управлять поведением людей в конфликтных ситуациях; 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Владение навыками публичного выступления перед собранием;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объединять людей вокруг своей идеи, формировать команду, стимулировать ее эффективную работу;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Руководство в работе правовыми знаниями и убеждениями в соответствии с законодательством и установленными регламентами, умение отстаивать свои права;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Умение разрабатывать и оформлять проекты, управлять одним из направлений проекта;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Знание финансово-экономических аспектов государственного и муниципального </w:t>
            </w:r>
            <w:r w:rsidRPr="0053488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управления;</w:t>
            </w:r>
          </w:p>
          <w:p w:rsidR="00534886" w:rsidRPr="00534886" w:rsidRDefault="00534886" w:rsidP="00534886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Знание правовых аспектов в области ИКТ, программных документов и приоритетов государственной политики в области ИКТ, правовых аспектов в сфере предоставления государственных услуг населению и организациям посредством применения ИКТ;</w:t>
            </w:r>
          </w:p>
          <w:p w:rsidR="00B71D1B" w:rsidRDefault="00534886" w:rsidP="00534886">
            <w:pPr>
              <w:pStyle w:val="afc"/>
              <w:rPr>
                <w:rFonts w:ascii="STIX" w:eastAsia="STIX" w:hAnsi="STIX" w:cs="STIX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4886">
              <w:rPr>
                <w:rFonts w:ascii="Times New Roman" w:hAnsi="Times New Roman"/>
                <w:sz w:val="24"/>
                <w:szCs w:val="24"/>
              </w:rPr>
              <w:t xml:space="preserve">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534886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534886"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 области, работы с системами управления проектами.</w:t>
            </w:r>
          </w:p>
        </w:tc>
      </w:tr>
    </w:tbl>
    <w:p w:rsidR="00B71D1B" w:rsidRDefault="00BC01CA">
      <w:pPr>
        <w:spacing w:before="100" w:before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 заявлений и прилагаемых докум</w:t>
      </w:r>
      <w:r w:rsidR="00534886">
        <w:rPr>
          <w:sz w:val="24"/>
          <w:szCs w:val="24"/>
        </w:rPr>
        <w:t xml:space="preserve">ентов на конкурс начинается с </w:t>
      </w:r>
      <w:r w:rsidR="00F453BF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F453B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2023 года и заканчивается </w:t>
      </w:r>
      <w:r w:rsidR="00F453BF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3488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2023 года. Все конкурсные документы доставляются лично в рабочие дни с 9.00 до 17.00 по адресу: Белгородская область, Вейделевский район, п. Вейделевка, ул. Первомайская, 1</w:t>
      </w:r>
    </w:p>
    <w:p w:rsidR="00B71D1B" w:rsidRDefault="00BC0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Подробную информацию о проведении конкурса можно получить по телефонам: (47-237) 5-45-53.</w:t>
      </w:r>
    </w:p>
    <w:p w:rsidR="00B71D1B" w:rsidRDefault="00B71D1B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1D1B" w:rsidRDefault="00B71D1B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B71D1B">
      <w:headerReference w:type="default" r:id="rId9"/>
      <w:pgSz w:w="16838" w:h="11906" w:orient="landscape"/>
      <w:pgMar w:top="567" w:right="1134" w:bottom="85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74" w:rsidRDefault="00CC5C74">
      <w:r>
        <w:separator/>
      </w:r>
    </w:p>
  </w:endnote>
  <w:endnote w:type="continuationSeparator" w:id="0">
    <w:p w:rsidR="00CC5C74" w:rsidRDefault="00C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IX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74" w:rsidRDefault="00CC5C74">
      <w:r>
        <w:separator/>
      </w:r>
    </w:p>
  </w:footnote>
  <w:footnote w:type="continuationSeparator" w:id="0">
    <w:p w:rsidR="00CC5C74" w:rsidRDefault="00CC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B" w:rsidRDefault="00B71D1B">
    <w:pPr>
      <w:pStyle w:val="af6"/>
      <w:jc w:val="center"/>
    </w:pPr>
  </w:p>
  <w:p w:rsidR="00B71D1B" w:rsidRDefault="00B71D1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54B"/>
    <w:multiLevelType w:val="hybridMultilevel"/>
    <w:tmpl w:val="EEEA38F0"/>
    <w:lvl w:ilvl="0" w:tplc="CD4EA9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C2C00D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4F8E4F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A0872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1D878E2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020EC8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BA898B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994B2E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AD4794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5E2D3C"/>
    <w:multiLevelType w:val="hybridMultilevel"/>
    <w:tmpl w:val="3F2CC516"/>
    <w:lvl w:ilvl="0" w:tplc="98184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C45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3ED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E0EA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14D6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A28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89F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D6DE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08D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229CF"/>
    <w:multiLevelType w:val="hybridMultilevel"/>
    <w:tmpl w:val="4B58DEB4"/>
    <w:lvl w:ilvl="0" w:tplc="30080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9946882">
      <w:start w:val="1"/>
      <w:numFmt w:val="lowerLetter"/>
      <w:lvlText w:val="%2."/>
      <w:lvlJc w:val="left"/>
      <w:pPr>
        <w:ind w:left="1789" w:hanging="360"/>
      </w:pPr>
    </w:lvl>
    <w:lvl w:ilvl="2" w:tplc="D24EB3BE">
      <w:start w:val="1"/>
      <w:numFmt w:val="lowerRoman"/>
      <w:lvlText w:val="%3."/>
      <w:lvlJc w:val="right"/>
      <w:pPr>
        <w:ind w:left="2509" w:hanging="180"/>
      </w:pPr>
    </w:lvl>
    <w:lvl w:ilvl="3" w:tplc="068EC878">
      <w:start w:val="1"/>
      <w:numFmt w:val="decimal"/>
      <w:lvlText w:val="%4."/>
      <w:lvlJc w:val="left"/>
      <w:pPr>
        <w:ind w:left="3229" w:hanging="360"/>
      </w:pPr>
    </w:lvl>
    <w:lvl w:ilvl="4" w:tplc="40C416B4">
      <w:start w:val="1"/>
      <w:numFmt w:val="lowerLetter"/>
      <w:lvlText w:val="%5."/>
      <w:lvlJc w:val="left"/>
      <w:pPr>
        <w:ind w:left="3949" w:hanging="360"/>
      </w:pPr>
    </w:lvl>
    <w:lvl w:ilvl="5" w:tplc="4E1E5D3E">
      <w:start w:val="1"/>
      <w:numFmt w:val="lowerRoman"/>
      <w:lvlText w:val="%6."/>
      <w:lvlJc w:val="right"/>
      <w:pPr>
        <w:ind w:left="4669" w:hanging="180"/>
      </w:pPr>
    </w:lvl>
    <w:lvl w:ilvl="6" w:tplc="A068540E">
      <w:start w:val="1"/>
      <w:numFmt w:val="decimal"/>
      <w:lvlText w:val="%7."/>
      <w:lvlJc w:val="left"/>
      <w:pPr>
        <w:ind w:left="5389" w:hanging="360"/>
      </w:pPr>
    </w:lvl>
    <w:lvl w:ilvl="7" w:tplc="0FACAF4E">
      <w:start w:val="1"/>
      <w:numFmt w:val="lowerLetter"/>
      <w:lvlText w:val="%8."/>
      <w:lvlJc w:val="left"/>
      <w:pPr>
        <w:ind w:left="6109" w:hanging="360"/>
      </w:pPr>
    </w:lvl>
    <w:lvl w:ilvl="8" w:tplc="D18EC3E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1B"/>
    <w:rsid w:val="00362597"/>
    <w:rsid w:val="00534886"/>
    <w:rsid w:val="00B71D1B"/>
    <w:rsid w:val="00BC01CA"/>
    <w:rsid w:val="00CC5C74"/>
    <w:rsid w:val="00EB49A7"/>
    <w:rsid w:val="00F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4"/>
    <w:qFormat/>
    <w:pPr>
      <w:jc w:val="center"/>
    </w:pPr>
    <w:rPr>
      <w:b/>
      <w:sz w:val="32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styleId="af4">
    <w:name w:val="Hyperlink"/>
    <w:rPr>
      <w:color w:val="0000FF"/>
      <w:u w:val="single"/>
    </w:rPr>
  </w:style>
  <w:style w:type="paragraph" w:styleId="af5">
    <w:name w:val="Normal (Web)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8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4"/>
    <w:qFormat/>
    <w:pPr>
      <w:jc w:val="center"/>
    </w:pPr>
    <w:rPr>
      <w:b/>
      <w:sz w:val="32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styleId="af4">
    <w:name w:val="Hyperlink"/>
    <w:rPr>
      <w:color w:val="0000FF"/>
      <w:u w:val="single"/>
    </w:rPr>
  </w:style>
  <w:style w:type="paragraph" w:styleId="af5">
    <w:name w:val="Normal (Web)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8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8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444</cp:lastModifiedBy>
  <cp:revision>4</cp:revision>
  <dcterms:created xsi:type="dcterms:W3CDTF">2023-02-21T04:09:00Z</dcterms:created>
  <dcterms:modified xsi:type="dcterms:W3CDTF">2023-03-06T07:46:00Z</dcterms:modified>
</cp:coreProperties>
</file>