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3"/>
        <w:jc w:val="right"/>
        <w:rPr>
          <w:b/>
          <w:sz w:val="24"/>
          <w:szCs w:val="24"/>
        </w:rPr>
      </w:pP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524288;o:allowoverlap:true;o:allowincell:true;mso-position-horizontal-relative:text;margin-left:213.1pt;mso-position-horizontal:absolute;mso-position-vertical-relative:text;margin-top:0.0pt;mso-position-vertical:absolute;width:58.4pt;height:70.5pt;mso-wrap-distance-left:9.0pt;mso-wrap-distance-top:0.0pt;mso-wrap-distance-right:9.0pt;mso-wrap-distance-bottom:0.0pt;" filled="f" stroked="f">
            <v:path textboxrect="0,0,0,0"/>
            <w10:wrap type="square"/>
            <v:imagedata r:id="rId10" o:title=""/>
          </v:shape>
          <o:OLEObject DrawAspect="Content" r:id="rId11" ObjectID="_1525040" ProgID="PBrush" ShapeID="_x0000_i0" Type="Embed"/>
        </w:object>
      </w: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ab/>
        <w:tab/>
      </w:r>
      <w:r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</w:rPr>
      </w:r>
      <w:r/>
    </w:p>
    <w:p>
      <w:pPr>
        <w:pStyle w:val="633"/>
      </w:pPr>
      <w:r/>
      <w:r/>
    </w:p>
    <w:p>
      <w:pPr>
        <w:pStyle w:val="6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/>
    </w:p>
    <w:p>
      <w:pPr>
        <w:pStyle w:val="6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ВЕЙДЕЛЕВСКОГО РАЙОНА</w:t>
      </w:r>
      <w:r/>
    </w:p>
    <w:p>
      <w:pPr>
        <w:pStyle w:val="6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63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п.Вейделевка</w:t>
      </w:r>
      <w:r/>
    </w:p>
    <w:p>
      <w:pPr>
        <w:pStyle w:val="633"/>
        <w:rPr>
          <w:b/>
          <w:sz w:val="16"/>
        </w:rPr>
      </w:pPr>
      <w:r>
        <w:rPr>
          <w:b/>
          <w:sz w:val="16"/>
        </w:rPr>
      </w:r>
      <w:r/>
    </w:p>
    <w:p>
      <w:pPr>
        <w:pStyle w:val="633"/>
        <w:rPr>
          <w:b/>
          <w:sz w:val="16"/>
        </w:rPr>
      </w:pPr>
      <w:r>
        <w:rPr>
          <w:b/>
          <w:sz w:val="16"/>
        </w:rPr>
      </w:r>
      <w:r/>
    </w:p>
    <w:p>
      <w:pPr>
        <w:pStyle w:val="633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 xml:space="preserve">    </w:t>
      </w:r>
      <w:r>
        <w:rPr>
          <w:sz w:val="28"/>
        </w:rPr>
        <w:t xml:space="preserve">  </w:t>
      </w:r>
      <w:r>
        <w:rPr>
          <w:sz w:val="28"/>
        </w:rPr>
        <w:t xml:space="preserve">«26» марта </w:t>
      </w:r>
      <w:r>
        <w:rPr>
          <w:sz w:val="28"/>
        </w:rPr>
        <w:t xml:space="preserve">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4</w:t>
      </w:r>
      <w:r>
        <w:rPr>
          <w:sz w:val="28"/>
        </w:rPr>
        <w:t xml:space="preserve"> г</w:t>
      </w:r>
      <w:r>
        <w:rPr>
          <w:sz w:val="28"/>
        </w:rPr>
        <w:t xml:space="preserve">ода</w:t>
      </w:r>
      <w:r>
        <w:rPr>
          <w:sz w:val="28"/>
        </w:rPr>
        <w:t xml:space="preserve">                  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 xml:space="preserve">      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 xml:space="preserve">102</w:t>
      </w:r>
      <w:r/>
    </w:p>
    <w:p>
      <w:pPr>
        <w:pStyle w:val="633"/>
      </w:pPr>
      <w:r/>
      <w:r/>
    </w:p>
    <w:p>
      <w:pPr>
        <w:pStyle w:val="633"/>
      </w:pPr>
      <w:r/>
      <w:r/>
    </w:p>
    <w:p>
      <w:pPr>
        <w:pStyle w:val="633"/>
      </w:pPr>
      <w:r/>
      <w:r/>
    </w:p>
    <w:p>
      <w:pPr>
        <w:pStyle w:val="63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постановление</w:t>
      </w:r>
      <w:r>
        <w:rPr>
          <w:b/>
          <w:sz w:val="28"/>
          <w:szCs w:val="28"/>
        </w:rPr>
        <w:t xml:space="preserve"> </w:t>
      </w:r>
      <w:r/>
    </w:p>
    <w:p>
      <w:pPr>
        <w:pStyle w:val="63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</w:t>
      </w:r>
      <w:r>
        <w:rPr>
          <w:b/>
          <w:sz w:val="28"/>
          <w:szCs w:val="28"/>
        </w:rPr>
        <w:t xml:space="preserve"> Вейделевского</w:t>
      </w:r>
      <w:r>
        <w:rPr>
          <w:b/>
          <w:sz w:val="28"/>
          <w:szCs w:val="28"/>
        </w:rPr>
        <w:t xml:space="preserve"> ра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3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15</w:t>
      </w:r>
      <w:r>
        <w:rPr>
          <w:b/>
          <w:sz w:val="28"/>
          <w:szCs w:val="28"/>
        </w:rPr>
        <w:t xml:space="preserve"> октября </w:t>
      </w:r>
      <w:r>
        <w:rPr>
          <w:b/>
          <w:sz w:val="28"/>
          <w:szCs w:val="28"/>
        </w:rPr>
        <w:t xml:space="preserve">201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ода</w:t>
      </w:r>
      <w:r>
        <w:rPr>
          <w:b/>
          <w:sz w:val="28"/>
          <w:szCs w:val="28"/>
        </w:rPr>
        <w:t xml:space="preserve"> №173</w:t>
      </w:r>
      <w:r>
        <w:rPr>
          <w:b/>
          <w:sz w:val="28"/>
          <w:szCs w:val="28"/>
        </w:rPr>
      </w:r>
      <w:r/>
    </w:p>
    <w:p>
      <w:pPr>
        <w:pStyle w:val="63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3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63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В целях </w:t>
      </w:r>
      <w:r>
        <w:rPr>
          <w:bCs/>
          <w:sz w:val="28"/>
          <w:szCs w:val="28"/>
        </w:rPr>
        <w:t xml:space="preserve">актуализации и повышения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эффективности реализации муниципальной программы Вейделевского района </w:t>
      </w:r>
      <w:r>
        <w:rPr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Вейделевском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оне»</w:t>
      </w:r>
      <w:r>
        <w:rPr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утвержденной постановлением </w:t>
      </w:r>
      <w:r>
        <w:rPr>
          <w:sz w:val="28"/>
          <w:szCs w:val="28"/>
        </w:rPr>
        <w:t xml:space="preserve">администрации Вейделевского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она от 15.10.201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г. №173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и дополнениями)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уководствуясь</w:t>
      </w:r>
      <w:r>
        <w:rPr>
          <w:sz w:val="28"/>
          <w:szCs w:val="28"/>
        </w:rPr>
        <w:t xml:space="preserve"> Бюджетным кодексом Российской Федерации,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Уставом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Вейделевск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п о с т а н о в л я ю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633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 Внести следующие изменения в постановление администрации Вейделевского района от 15 октября 2014 года №173 «Об утверждении муниципальной программы Вейделевского района «</w:t>
      </w:r>
      <w:r>
        <w:rPr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Вейделевском ра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оне</w:t>
      </w:r>
      <w:r>
        <w:rPr>
          <w:spacing w:val="1"/>
          <w:sz w:val="28"/>
          <w:szCs w:val="28"/>
        </w:rPr>
        <w:t xml:space="preserve">»</w:t>
      </w:r>
      <w:r>
        <w:rPr>
          <w:spacing w:val="1"/>
          <w:sz w:val="28"/>
          <w:szCs w:val="28"/>
        </w:rPr>
        <w:t xml:space="preserve"> (далее – </w:t>
      </w:r>
      <w:r>
        <w:rPr>
          <w:spacing w:val="1"/>
          <w:sz w:val="28"/>
          <w:szCs w:val="28"/>
        </w:rPr>
        <w:t xml:space="preserve">муниципальная п</w:t>
      </w:r>
      <w:r>
        <w:rPr>
          <w:spacing w:val="1"/>
          <w:sz w:val="28"/>
          <w:szCs w:val="28"/>
        </w:rPr>
        <w:t xml:space="preserve">рограмма)</w:t>
      </w:r>
      <w:r>
        <w:rPr>
          <w:spacing w:val="1"/>
          <w:sz w:val="28"/>
          <w:szCs w:val="28"/>
        </w:rPr>
        <w:t xml:space="preserve">: </w:t>
      </w:r>
      <w:r/>
    </w:p>
    <w:p>
      <w:pPr>
        <w:pStyle w:val="633"/>
        <w:contextualSpacing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в муниципальную </w:t>
      </w:r>
      <w:r>
        <w:rPr>
          <w:spacing w:val="1"/>
          <w:sz w:val="28"/>
          <w:szCs w:val="28"/>
        </w:rPr>
        <w:t xml:space="preserve">п</w:t>
      </w:r>
      <w:r>
        <w:rPr>
          <w:spacing w:val="1"/>
          <w:sz w:val="28"/>
          <w:szCs w:val="28"/>
        </w:rPr>
        <w:t xml:space="preserve">рограмму, утвержденную в пункте 1 </w:t>
      </w:r>
      <w:r>
        <w:rPr>
          <w:spacing w:val="1"/>
          <w:sz w:val="28"/>
          <w:szCs w:val="28"/>
        </w:rPr>
        <w:t xml:space="preserve">вышеуказанного</w:t>
      </w:r>
      <w:r>
        <w:rPr>
          <w:spacing w:val="1"/>
          <w:sz w:val="28"/>
          <w:szCs w:val="28"/>
        </w:rPr>
        <w:t xml:space="preserve"> постановления:</w:t>
      </w:r>
      <w:r>
        <w:rPr>
          <w:spacing w:val="1"/>
          <w:sz w:val="28"/>
          <w:szCs w:val="28"/>
        </w:rPr>
      </w:r>
      <w:r/>
    </w:p>
    <w:p>
      <w:pPr>
        <w:pStyle w:val="633"/>
        <w:contextualSpacing/>
        <w:ind w:firstLine="54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1.1</w:t>
      </w:r>
      <w:r>
        <w:rPr>
          <w:spacing w:val="1"/>
          <w:sz w:val="28"/>
          <w:szCs w:val="28"/>
        </w:rPr>
        <w:t xml:space="preserve">.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Р</w:t>
      </w:r>
      <w:r>
        <w:rPr>
          <w:spacing w:val="1"/>
          <w:sz w:val="28"/>
          <w:szCs w:val="28"/>
        </w:rPr>
        <w:t xml:space="preserve">аздел </w:t>
      </w:r>
      <w:r>
        <w:rPr>
          <w:spacing w:val="1"/>
          <w:sz w:val="28"/>
          <w:szCs w:val="28"/>
        </w:rPr>
        <w:t xml:space="preserve">3</w:t>
      </w:r>
      <w:r>
        <w:rPr>
          <w:spacing w:val="1"/>
          <w:sz w:val="28"/>
          <w:szCs w:val="28"/>
        </w:rPr>
        <w:t xml:space="preserve">. </w:t>
      </w:r>
      <w:r>
        <w:rPr>
          <w:spacing w:val="1"/>
          <w:sz w:val="28"/>
          <w:szCs w:val="28"/>
        </w:rPr>
        <w:t xml:space="preserve">Обоснование основных мероприятий и краткое описание </w:t>
      </w:r>
      <w:r/>
    </w:p>
    <w:p>
      <w:pPr>
        <w:pStyle w:val="633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мероприятий подпрограммы </w:t>
      </w:r>
      <w:r>
        <w:rPr>
          <w:spacing w:val="1"/>
          <w:sz w:val="28"/>
          <w:szCs w:val="28"/>
        </w:rPr>
        <w:t xml:space="preserve">1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дополнить </w:t>
      </w:r>
      <w:r>
        <w:rPr>
          <w:spacing w:val="1"/>
          <w:sz w:val="28"/>
          <w:szCs w:val="28"/>
        </w:rPr>
        <w:t xml:space="preserve">абзац</w:t>
      </w:r>
      <w:r>
        <w:rPr>
          <w:spacing w:val="1"/>
          <w:sz w:val="28"/>
          <w:szCs w:val="28"/>
        </w:rPr>
        <w:t xml:space="preserve">а</w:t>
      </w:r>
      <w:r>
        <w:rPr>
          <w:spacing w:val="1"/>
          <w:sz w:val="28"/>
          <w:szCs w:val="28"/>
        </w:rPr>
        <w:t xml:space="preserve">м</w:t>
      </w:r>
      <w:r>
        <w:rPr>
          <w:spacing w:val="1"/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 xml:space="preserve">8</w:t>
      </w:r>
      <w:r>
        <w:rPr>
          <w:spacing w:val="1"/>
          <w:sz w:val="28"/>
          <w:szCs w:val="28"/>
        </w:rPr>
        <w:t xml:space="preserve">-</w:t>
      </w:r>
      <w:r>
        <w:rPr>
          <w:spacing w:val="1"/>
          <w:sz w:val="28"/>
          <w:szCs w:val="28"/>
        </w:rPr>
        <w:t xml:space="preserve">16:</w:t>
      </w:r>
      <w:r>
        <w:rPr>
          <w:spacing w:val="1"/>
          <w:sz w:val="28"/>
          <w:szCs w:val="28"/>
        </w:rPr>
      </w:r>
      <w:r/>
    </w:p>
    <w:p>
      <w:pPr>
        <w:pStyle w:val="633"/>
        <w:ind w:firstLine="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«</w:t>
      </w:r>
      <w:r>
        <w:rPr>
          <w:sz w:val="28"/>
          <w:szCs w:val="28"/>
        </w:rPr>
        <w:t xml:space="preserve">Государственная или муниципальная поддержка </w:t>
      </w:r>
      <w:r>
        <w:rPr>
          <w:sz w:val="28"/>
          <w:szCs w:val="28"/>
        </w:rPr>
        <w:t xml:space="preserve"> предоставл</w:t>
      </w:r>
      <w:r>
        <w:rPr>
          <w:sz w:val="28"/>
          <w:szCs w:val="28"/>
        </w:rPr>
        <w:t xml:space="preserve">яется</w:t>
      </w:r>
      <w:r>
        <w:rPr>
          <w:sz w:val="28"/>
          <w:szCs w:val="28"/>
        </w:rPr>
        <w:t xml:space="preserve"> субъектам малого и среднего предпринимательства, осуществляющим приоритетные виды деятельности</w:t>
      </w:r>
      <w:r>
        <w:rPr>
          <w:sz w:val="28"/>
          <w:szCs w:val="28"/>
        </w:rPr>
        <w:t xml:space="preserve"> в виде</w:t>
      </w:r>
      <w:r>
        <w:rPr>
          <w:sz w:val="28"/>
          <w:szCs w:val="28"/>
        </w:rPr>
        <w:t xml:space="preserve">:</w:t>
      </w:r>
      <w:r/>
    </w:p>
    <w:p>
      <w:pPr>
        <w:pStyle w:val="63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</w:t>
      </w:r>
      <w:r>
        <w:rPr>
          <w:sz w:val="28"/>
          <w:szCs w:val="28"/>
        </w:rPr>
        <w:t xml:space="preserve">ачи муниципального имущества по договорам аренды, договорам безвозмездного пользования и иным договорам, предусматривающим переход прав владения и (или) пользования муниципальным имуществом, без проведения конкурсов, аукционов и (или) на льготных условиях;</w:t>
      </w:r>
      <w:r/>
    </w:p>
    <w:p>
      <w:pPr>
        <w:pStyle w:val="633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- предоставлени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муниципального имущества из сформированного перечня имущества,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льготных условиях;</w:t>
      </w:r>
      <w:r/>
    </w:p>
    <w:p>
      <w:pPr>
        <w:pStyle w:val="633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предоставлени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имущества из перечня недвижимого имущества (за исключением земельных участков), находящегося в муниципальной собственности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района, в том числе составляющего казну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йона, в отношении которого могут заключаться без проведения торгов договоры аренды с физическими лицами, в том числе индивидуальными предпринимателями, и юридическими лицами, осуществляющими (осуществлявшими) предпринимательскую деятельность на территории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 и утратившими недвижимое имущество, принадлежавшее им на праве собственности или ином законном осн</w:t>
      </w:r>
      <w:r>
        <w:rPr>
          <w:sz w:val="28"/>
          <w:szCs w:val="28"/>
        </w:rPr>
        <w:t xml:space="preserve">овании, в результате обстрелов со стороны вооруженных формирований Украины и (или) террористических актов, или возможность использования принадлежащего им на праве собственности или ином законном основании недвижимого имущества, находящегося на территории </w:t>
      </w:r>
      <w:r>
        <w:rPr>
          <w:sz w:val="28"/>
          <w:szCs w:val="28"/>
        </w:rPr>
        <w:t xml:space="preserve">Вейделевского</w:t>
      </w:r>
      <w:r>
        <w:rPr>
          <w:sz w:val="28"/>
          <w:szCs w:val="28"/>
        </w:rPr>
        <w:t xml:space="preserve"> района, на которой введен режим чрезвычайной ситуации в связи с указанными противоправными действиями;</w:t>
      </w:r>
      <w:r/>
    </w:p>
    <w:p>
      <w:pPr>
        <w:pStyle w:val="633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 - продлени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субъектам малого и среднего предпринимательства договоров на размещение нестационарных торговых объектов и объектов для осуществления развозной торговли без проведения торгов.</w:t>
      </w:r>
      <w:r/>
    </w:p>
    <w:p>
      <w:pPr>
        <w:pStyle w:val="633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Приоритетные и перспективные для оказания муниципальной поддержки направления развития малого и среднего предпринимательства:</w:t>
      </w:r>
      <w:r/>
    </w:p>
    <w:p>
      <w:pPr>
        <w:pStyle w:val="633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развитие выездной торговли в сельских поселениях;</w:t>
      </w:r>
      <w:r/>
    </w:p>
    <w:p>
      <w:pPr>
        <w:pStyle w:val="633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оказание услуг по осуществлению пассажирских перевозок. </w:t>
      </w:r>
      <w:r/>
    </w:p>
    <w:p>
      <w:pPr>
        <w:pStyle w:val="633"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Рассмотрение заявлений субъектов малого и среднего предпринимательства о предоставлении имущественной под</w:t>
      </w:r>
      <w:r>
        <w:rPr>
          <w:sz w:val="28"/>
          <w:szCs w:val="28"/>
        </w:rPr>
        <w:t xml:space="preserve">держки органов местного самоуправления, уполномоченным на распоряжение муниципальным имуществом, и принятие решения о предоставлении имущественной поддержки, осуществляются в порядке, установленном решением Муниципального совета муниципального района «</w:t>
      </w:r>
      <w:r>
        <w:rPr>
          <w:sz w:val="28"/>
          <w:szCs w:val="28"/>
        </w:rPr>
        <w:t xml:space="preserve">Вейделевский</w:t>
      </w:r>
      <w:r>
        <w:rPr>
          <w:sz w:val="28"/>
          <w:szCs w:val="28"/>
        </w:rPr>
        <w:t xml:space="preserve"> район» Белгородской области от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.202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г. №</w:t>
      </w:r>
      <w:r>
        <w:rPr>
          <w:sz w:val="28"/>
          <w:szCs w:val="28"/>
        </w:rPr>
        <w:t xml:space="preserve">3 «Об имущественной поддержке субъектов малого и среднего предпринимательства при предоставлении муниципального имущества</w:t>
      </w:r>
      <w:r>
        <w:rPr>
          <w:sz w:val="28"/>
          <w:szCs w:val="28"/>
        </w:rPr>
        <w:t xml:space="preserve">.</w:t>
      </w:r>
      <w:r/>
    </w:p>
    <w:p>
      <w:pPr>
        <w:pStyle w:val="633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       1.2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 8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аздел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3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Обоснование основных мероприятий и краткое описание мероприятий подпрограммы 1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считать </w:t>
      </w:r>
      <w:r>
        <w:rPr>
          <w:sz w:val="28"/>
          <w:szCs w:val="28"/>
        </w:rPr>
        <w:t xml:space="preserve">абзацем</w:t>
      </w:r>
      <w:r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/>
    </w:p>
    <w:p>
      <w:pPr>
        <w:pStyle w:val="633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2.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Заместителю начальника управления по организационно-контрольной и кадровой работе администрации Вейделевского района – начальнику организационно-контрольного отдела управления по организационно-контрольной и кадровой раб</w:t>
      </w:r>
      <w:r>
        <w:rPr>
          <w:sz w:val="28"/>
          <w:szCs w:val="28"/>
        </w:rPr>
        <w:t xml:space="preserve">оте администрации Вейделевского района Гончаренко О.Н. обеспечить опубликование настоящего постановления в печатном средстве массовой информации муниципального района «Вейделевский район» Белгородской области «Информационный бюллетень Вейделевского района»</w:t>
      </w:r>
      <w:r>
        <w:rPr>
          <w:sz w:val="28"/>
          <w:szCs w:val="28"/>
        </w:rPr>
        <w:t xml:space="preserve">.</w:t>
      </w:r>
      <w:r/>
    </w:p>
    <w:p>
      <w:pPr>
        <w:pStyle w:val="63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 Начальнику отдела делопроизводства, писем по связям с общественностью и СМИ администрации Вейделевского района Авериной Н.В. обеспечить размещение настоящего постановления на официальном сайте администрации Вейделевского района Белгородской области.</w:t>
      </w:r>
      <w:r/>
    </w:p>
    <w:p>
      <w:pPr>
        <w:pStyle w:val="633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заместител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главы администрации Вейделевского района по экономическому развитию, финансам и бюджетной политик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- начальник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управления финансов и налоговой политики администрации Вейделевского района</w:t>
      </w:r>
      <w:r>
        <w:rPr>
          <w:sz w:val="28"/>
          <w:szCs w:val="28"/>
        </w:rPr>
        <w:t xml:space="preserve"> Масютенко Г.Н.</w:t>
      </w:r>
      <w:r>
        <w:rPr>
          <w:b/>
          <w:sz w:val="28"/>
          <w:szCs w:val="28"/>
        </w:rPr>
      </w:r>
      <w:r/>
    </w:p>
    <w:p>
      <w:pPr>
        <w:pStyle w:val="633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3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3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3"/>
        <w:rPr>
          <w:b/>
          <w:sz w:val="28"/>
          <w:szCs w:val="28"/>
        </w:rPr>
      </w:pPr>
      <w:r>
        <w:rPr>
          <w:b/>
          <w:sz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</w:r>
      <w:r/>
    </w:p>
    <w:p>
      <w:pPr>
        <w:pStyle w:val="633"/>
        <w:rPr>
          <w:b/>
          <w:sz w:val="28"/>
        </w:rPr>
      </w:pPr>
      <w:r>
        <w:rPr>
          <w:b/>
          <w:sz w:val="28"/>
          <w:szCs w:val="28"/>
        </w:rPr>
        <w:t xml:space="preserve">Вейделевского района </w:t>
        <w:tab/>
        <w:tab/>
        <w:tab/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Самойл</w:t>
      </w:r>
      <w:r>
        <w:rPr>
          <w:b/>
          <w:sz w:val="28"/>
          <w:szCs w:val="28"/>
        </w:rPr>
        <w:t xml:space="preserve">ова</w:t>
      </w:r>
      <w:r>
        <w:rPr>
          <w:b/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</w:pPr>
      <w:r>
        <w:rPr>
          <w:sz w:val="28"/>
        </w:rPr>
      </w:r>
      <w:r/>
    </w:p>
    <w:p>
      <w:pPr>
        <w:pStyle w:val="633"/>
        <w:rPr>
          <w:sz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1" w:bottom="709" w:left="1701" w:header="709" w:footer="709" w:gutter="0"/>
          <w:cols w:num="1" w:sep="0" w:space="708" w:equalWidth="1"/>
          <w:docGrid w:linePitch="360"/>
        </w:sectPr>
      </w:pPr>
      <w:r>
        <w:rPr>
          <w:sz w:val="28"/>
        </w:rPr>
      </w:r>
      <w:r/>
    </w:p>
    <w:p>
      <w:r/>
    </w:p>
    <w:sectPr>
      <w:footnotePr/>
      <w:endnotePr/>
      <w:type w:val="nextPage"/>
      <w:pgSz w:w="16838" w:h="11906" w:orient="landscape"/>
      <w:pgMar w:top="1134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jc w:val="right"/>
      <w:rPr>
        <w:sz w:val="16"/>
        <w:szCs w:val="16"/>
      </w:rPr>
    </w:pPr>
    <w:r>
      <w:rPr>
        <w:sz w:val="16"/>
        <w:szCs w:val="16"/>
      </w:rPr>
    </w:r>
    <w:r/>
  </w:p>
  <w:p>
    <w:pPr>
      <w:pStyle w:val="63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3"/>
        <w:ind w:left="26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3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702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3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702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3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3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702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3"/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648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3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3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702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33"/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702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3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33"/>
    <w:next w:val="63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33"/>
    <w:next w:val="63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33"/>
    <w:next w:val="63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33"/>
    <w:next w:val="63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33"/>
    <w:next w:val="63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33"/>
    <w:next w:val="63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33"/>
    <w:next w:val="63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33"/>
    <w:next w:val="63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33"/>
    <w:next w:val="63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3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33"/>
    <w:next w:val="63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33"/>
    <w:next w:val="63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33"/>
    <w:next w:val="63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3"/>
    <w:next w:val="63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3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3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3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3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next w:val="633"/>
    <w:link w:val="633"/>
    <w:qFormat/>
    <w:rPr>
      <w:lang w:val="ru-RU" w:eastAsia="ru-RU" w:bidi="ar-SA"/>
    </w:rPr>
  </w:style>
  <w:style w:type="paragraph" w:styleId="634">
    <w:name w:val="Заголовок 1"/>
    <w:basedOn w:val="633"/>
    <w:next w:val="633"/>
    <w:link w:val="650"/>
    <w:uiPriority w:val="99"/>
    <w:qFormat/>
    <w:pPr>
      <w:keepNext/>
      <w:outlineLvl w:val="0"/>
    </w:pPr>
    <w:rPr>
      <w:b/>
      <w:bCs/>
      <w:sz w:val="24"/>
      <w:szCs w:val="24"/>
      <w:lang w:val="en-US" w:eastAsia="en-US"/>
    </w:rPr>
  </w:style>
  <w:style w:type="paragraph" w:styleId="635">
    <w:name w:val="Заголовок 2"/>
    <w:basedOn w:val="633"/>
    <w:next w:val="633"/>
    <w:link w:val="63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636">
    <w:name w:val="Основной шрифт абзаца"/>
    <w:next w:val="636"/>
    <w:link w:val="633"/>
    <w:semiHidden/>
  </w:style>
  <w:style w:type="table" w:styleId="637">
    <w:name w:val="Обычная таблица"/>
    <w:next w:val="637"/>
    <w:link w:val="633"/>
    <w:semiHidden/>
    <w:tblPr/>
  </w:style>
  <w:style w:type="numbering" w:styleId="638">
    <w:name w:val="Нет списка"/>
    <w:next w:val="638"/>
    <w:link w:val="633"/>
    <w:uiPriority w:val="99"/>
    <w:semiHidden/>
  </w:style>
  <w:style w:type="paragraph" w:styleId="639">
    <w:name w:val="Нижний колонтитул"/>
    <w:basedOn w:val="633"/>
    <w:next w:val="639"/>
    <w:link w:val="654"/>
    <w:uiPriority w:val="99"/>
    <w:pPr>
      <w:tabs>
        <w:tab w:val="center" w:pos="4677" w:leader="none"/>
        <w:tab w:val="right" w:pos="9355" w:leader="none"/>
      </w:tabs>
    </w:pPr>
  </w:style>
  <w:style w:type="character" w:styleId="640">
    <w:name w:val="Номер страницы"/>
    <w:basedOn w:val="636"/>
    <w:next w:val="640"/>
    <w:link w:val="633"/>
    <w:uiPriority w:val="99"/>
  </w:style>
  <w:style w:type="paragraph" w:styleId="641">
    <w:name w:val="Верхний колонтитул"/>
    <w:basedOn w:val="633"/>
    <w:next w:val="641"/>
    <w:link w:val="653"/>
    <w:uiPriority w:val="99"/>
    <w:pPr>
      <w:tabs>
        <w:tab w:val="center" w:pos="4677" w:leader="none"/>
        <w:tab w:val="right" w:pos="9355" w:leader="none"/>
      </w:tabs>
    </w:pPr>
  </w:style>
  <w:style w:type="paragraph" w:styleId="642">
    <w:name w:val="consplusnormal"/>
    <w:basedOn w:val="633"/>
    <w:next w:val="642"/>
    <w:link w:val="633"/>
    <w:pPr>
      <w:spacing w:before="100" w:beforeAutospacing="1" w:after="100" w:afterAutospacing="1"/>
    </w:pPr>
    <w:rPr>
      <w:sz w:val="24"/>
      <w:szCs w:val="24"/>
    </w:rPr>
  </w:style>
  <w:style w:type="paragraph" w:styleId="643">
    <w:name w:val="Основной текст"/>
    <w:basedOn w:val="633"/>
    <w:next w:val="643"/>
    <w:link w:val="644"/>
    <w:pPr>
      <w:jc w:val="both"/>
    </w:pPr>
    <w:rPr>
      <w:sz w:val="28"/>
      <w:lang w:val="en-US" w:eastAsia="en-US"/>
    </w:rPr>
  </w:style>
  <w:style w:type="character" w:styleId="644">
    <w:name w:val="Основной текст Знак"/>
    <w:next w:val="644"/>
    <w:link w:val="643"/>
    <w:rPr>
      <w:sz w:val="28"/>
      <w:lang w:val="en-US"/>
    </w:rPr>
  </w:style>
  <w:style w:type="paragraph" w:styleId="645">
    <w:name w:val="Обычный (веб)"/>
    <w:basedOn w:val="633"/>
    <w:next w:val="645"/>
    <w:link w:val="63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646">
    <w:name w:val="Строгий"/>
    <w:next w:val="646"/>
    <w:link w:val="633"/>
    <w:qFormat/>
    <w:rPr>
      <w:b/>
      <w:bCs/>
    </w:rPr>
  </w:style>
  <w:style w:type="paragraph" w:styleId="647">
    <w:name w:val="Текст выноски"/>
    <w:basedOn w:val="633"/>
    <w:next w:val="647"/>
    <w:link w:val="648"/>
    <w:uiPriority w:val="99"/>
    <w:rPr>
      <w:rFonts w:ascii="Tahoma" w:hAnsi="Tahoma"/>
      <w:sz w:val="16"/>
      <w:szCs w:val="16"/>
      <w:lang w:val="en-US" w:eastAsia="en-US"/>
    </w:rPr>
  </w:style>
  <w:style w:type="character" w:styleId="648">
    <w:name w:val="Текст выноски Знак"/>
    <w:next w:val="648"/>
    <w:link w:val="647"/>
    <w:uiPriority w:val="99"/>
    <w:rPr>
      <w:rFonts w:ascii="Tahoma" w:hAnsi="Tahoma" w:cs="Tahoma"/>
      <w:sz w:val="16"/>
      <w:szCs w:val="16"/>
    </w:rPr>
  </w:style>
  <w:style w:type="paragraph" w:styleId="649">
    <w:name w:val="ConsPlusNormal"/>
    <w:next w:val="649"/>
    <w:link w:val="668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650">
    <w:name w:val="Заголовок 1 Знак"/>
    <w:next w:val="650"/>
    <w:link w:val="634"/>
    <w:uiPriority w:val="99"/>
    <w:rPr>
      <w:b/>
      <w:bCs/>
      <w:sz w:val="24"/>
      <w:szCs w:val="24"/>
    </w:rPr>
  </w:style>
  <w:style w:type="paragraph" w:styleId="651">
    <w:name w:val="ConsPlusNonformat"/>
    <w:next w:val="651"/>
    <w:link w:val="633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652">
    <w:name w:val="ConsPlusCell"/>
    <w:next w:val="652"/>
    <w:link w:val="633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653">
    <w:name w:val="Верхний колонтитул Знак"/>
    <w:next w:val="653"/>
    <w:link w:val="641"/>
    <w:uiPriority w:val="99"/>
  </w:style>
  <w:style w:type="character" w:styleId="654">
    <w:name w:val="Нижний колонтитул Знак"/>
    <w:next w:val="654"/>
    <w:link w:val="639"/>
    <w:uiPriority w:val="99"/>
  </w:style>
  <w:style w:type="paragraph" w:styleId="655">
    <w:name w:val="Абзац списка"/>
    <w:basedOn w:val="633"/>
    <w:next w:val="655"/>
    <w:link w:val="670"/>
    <w:uiPriority w:val="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table" w:styleId="656">
    <w:name w:val="Сетка таблицы"/>
    <w:basedOn w:val="637"/>
    <w:next w:val="656"/>
    <w:link w:val="633"/>
    <w:uiPriority w:val="99"/>
    <w:rPr>
      <w:rFonts w:ascii="Calibri" w:hAnsi="Calibri"/>
    </w:rPr>
    <w:tblPr/>
  </w:style>
  <w:style w:type="paragraph" w:styleId="657">
    <w:name w:val="Текст концевой сноски"/>
    <w:basedOn w:val="633"/>
    <w:next w:val="657"/>
    <w:link w:val="658"/>
    <w:uiPriority w:val="99"/>
    <w:rPr>
      <w:rFonts w:ascii="Calibri" w:hAnsi="Calibri"/>
      <w:lang w:val="en-US" w:eastAsia="en-US"/>
    </w:rPr>
  </w:style>
  <w:style w:type="character" w:styleId="658">
    <w:name w:val="Текст концевой сноски Знак"/>
    <w:next w:val="658"/>
    <w:link w:val="657"/>
    <w:uiPriority w:val="99"/>
    <w:rPr>
      <w:rFonts w:ascii="Calibri" w:hAnsi="Calibri"/>
    </w:rPr>
  </w:style>
  <w:style w:type="character" w:styleId="659">
    <w:name w:val="Знак концевой сноски"/>
    <w:next w:val="659"/>
    <w:link w:val="633"/>
    <w:uiPriority w:val="99"/>
    <w:rPr>
      <w:rFonts w:cs="Times New Roman"/>
      <w:vertAlign w:val="superscript"/>
    </w:rPr>
  </w:style>
  <w:style w:type="paragraph" w:styleId="660">
    <w:name w:val="Текст сноски"/>
    <w:basedOn w:val="633"/>
    <w:next w:val="660"/>
    <w:link w:val="661"/>
    <w:uiPriority w:val="99"/>
    <w:rPr>
      <w:rFonts w:ascii="Calibri" w:hAnsi="Calibri"/>
      <w:lang w:val="en-US" w:eastAsia="en-US"/>
    </w:rPr>
  </w:style>
  <w:style w:type="character" w:styleId="661">
    <w:name w:val="Текст сноски Знак"/>
    <w:next w:val="661"/>
    <w:link w:val="660"/>
    <w:uiPriority w:val="99"/>
    <w:rPr>
      <w:rFonts w:ascii="Calibri" w:hAnsi="Calibri"/>
    </w:rPr>
  </w:style>
  <w:style w:type="character" w:styleId="662">
    <w:name w:val="Знак сноски"/>
    <w:next w:val="662"/>
    <w:link w:val="633"/>
    <w:uiPriority w:val="99"/>
    <w:rPr>
      <w:rFonts w:cs="Times New Roman"/>
      <w:vertAlign w:val="superscript"/>
    </w:rPr>
  </w:style>
  <w:style w:type="character" w:styleId="663">
    <w:name w:val="Знак примечания"/>
    <w:next w:val="663"/>
    <w:link w:val="633"/>
    <w:uiPriority w:val="99"/>
    <w:rPr>
      <w:rFonts w:cs="Times New Roman"/>
      <w:sz w:val="16"/>
      <w:szCs w:val="16"/>
    </w:rPr>
  </w:style>
  <w:style w:type="paragraph" w:styleId="664">
    <w:name w:val="Текст примечания"/>
    <w:basedOn w:val="633"/>
    <w:next w:val="664"/>
    <w:link w:val="665"/>
    <w:uiPriority w:val="99"/>
    <w:pPr>
      <w:spacing w:after="200"/>
    </w:pPr>
    <w:rPr>
      <w:rFonts w:ascii="Calibri" w:hAnsi="Calibri"/>
      <w:lang w:val="en-US" w:eastAsia="en-US"/>
    </w:rPr>
  </w:style>
  <w:style w:type="character" w:styleId="665">
    <w:name w:val="Текст примечания Знак"/>
    <w:next w:val="665"/>
    <w:link w:val="664"/>
    <w:uiPriority w:val="99"/>
    <w:rPr>
      <w:rFonts w:ascii="Calibri" w:hAnsi="Calibri"/>
    </w:rPr>
  </w:style>
  <w:style w:type="paragraph" w:styleId="666">
    <w:name w:val="Тема примечания"/>
    <w:basedOn w:val="664"/>
    <w:next w:val="664"/>
    <w:link w:val="667"/>
    <w:uiPriority w:val="99"/>
    <w:rPr>
      <w:b/>
      <w:bCs/>
      <w:lang w:val="en-US" w:eastAsia="en-US"/>
    </w:rPr>
  </w:style>
  <w:style w:type="character" w:styleId="667">
    <w:name w:val="Тема примечания Знак"/>
    <w:next w:val="667"/>
    <w:link w:val="666"/>
    <w:uiPriority w:val="99"/>
    <w:rPr>
      <w:rFonts w:ascii="Calibri" w:hAnsi="Calibri"/>
      <w:b/>
      <w:bCs/>
    </w:rPr>
  </w:style>
  <w:style w:type="character" w:styleId="668">
    <w:name w:val="ConsPlusNormal Знак"/>
    <w:next w:val="668"/>
    <w:link w:val="649"/>
    <w:rPr>
      <w:rFonts w:ascii="Arial" w:hAnsi="Arial" w:cs="Arial"/>
    </w:rPr>
  </w:style>
  <w:style w:type="paragraph" w:styleId="669">
    <w:name w:val="Default"/>
    <w:next w:val="669"/>
    <w:link w:val="633"/>
    <w:rPr>
      <w:color w:val="000000"/>
      <w:sz w:val="24"/>
      <w:szCs w:val="24"/>
      <w:lang w:val="ru-RU" w:eastAsia="ru-RU" w:bidi="ar-SA"/>
    </w:rPr>
  </w:style>
  <w:style w:type="character" w:styleId="670">
    <w:name w:val="Абзац списка Знак"/>
    <w:next w:val="670"/>
    <w:link w:val="655"/>
    <w:uiPriority w:val="99"/>
    <w:rPr>
      <w:rFonts w:ascii="Calibri" w:hAnsi="Calibri"/>
      <w:sz w:val="22"/>
      <w:szCs w:val="22"/>
    </w:rPr>
  </w:style>
  <w:style w:type="character" w:styleId="671">
    <w:name w:val="Основной текст_"/>
    <w:next w:val="671"/>
    <w:link w:val="672"/>
    <w:rPr>
      <w:sz w:val="27"/>
      <w:szCs w:val="27"/>
      <w:shd w:val="clear" w:color="auto" w:fill="ffffff"/>
    </w:rPr>
  </w:style>
  <w:style w:type="paragraph" w:styleId="672">
    <w:name w:val="Основной текст14"/>
    <w:basedOn w:val="633"/>
    <w:next w:val="672"/>
    <w:link w:val="671"/>
    <w:pPr>
      <w:ind w:hanging="560"/>
      <w:spacing w:before="1740" w:after="300" w:line="293" w:lineRule="exact"/>
      <w:shd w:val="clear" w:color="auto" w:fill="ffffff"/>
    </w:pPr>
    <w:rPr>
      <w:sz w:val="27"/>
      <w:szCs w:val="27"/>
    </w:rPr>
  </w:style>
  <w:style w:type="character" w:styleId="673">
    <w:name w:val="Гиперссылка"/>
    <w:next w:val="673"/>
    <w:link w:val="633"/>
    <w:uiPriority w:val="99"/>
    <w:unhideWhenUsed/>
    <w:rPr>
      <w:color w:val="0000ff"/>
      <w:u w:val="single"/>
    </w:rPr>
  </w:style>
  <w:style w:type="character" w:styleId="1867" w:default="1">
    <w:name w:val="Default Paragraph Font"/>
    <w:uiPriority w:val="1"/>
    <w:semiHidden/>
    <w:unhideWhenUsed/>
  </w:style>
  <w:style w:type="numbering" w:styleId="1868" w:default="1">
    <w:name w:val="No List"/>
    <w:uiPriority w:val="99"/>
    <w:semiHidden/>
    <w:unhideWhenUsed/>
  </w:style>
  <w:style w:type="table" w:styleId="1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Администрация Вейделевского района</Company>
  <DocSecurity>0</DocSecurity>
  <HyperlinksChanged>false</HyperlinksChanged>
  <ScaleCrop>false</ScaleCrop>
  <SharedDoc>false</SharedDoc>
  <Template>postan_08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svetlana</dc:creator>
  <cp:revision>91</cp:revision>
  <dcterms:created xsi:type="dcterms:W3CDTF">2023-01-23T06:32:00Z</dcterms:created>
  <dcterms:modified xsi:type="dcterms:W3CDTF">2024-03-27T07:27:18Z</dcterms:modified>
  <cp:version>917504</cp:version>
</cp:coreProperties>
</file>