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6pt;height:69.5pt;mso-wrap-distance-left:0.0pt;mso-wrap-distance-top:0.0pt;mso-wrap-distance-right:0.0pt;mso-wrap-distance-bottom:0.0pt;" filled="f" stroked="f">
            <v:path textboxrect="0,0,0,0"/>
            <v:imagedata r:id="rId11" o:title=""/>
          </v:shape>
          <o:OLEObject DrawAspect="Content" r:id="rId12" ObjectID="_1525040" ProgID="PBrush" ShapeID="_x0000_i0" Type="Embed"/>
        </w:objec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АДМИНИСТРАЦИИ ВЕЙДЕЛЕВСКОГО РАЙОНА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п. Вейделевка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0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0"/>
        </w:rPr>
        <w:t xml:space="preserve">   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«16» января 202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г.                                                                     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        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 №11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/>
    </w:p>
    <w:p>
      <w:pPr>
        <w:ind w:left="23" w:right="4081"/>
        <w:spacing w:after="0" w:line="240" w:lineRule="auto"/>
        <w:widowControl w:val="off"/>
        <w:tabs>
          <w:tab w:val="left" w:pos="4678" w:leader="none"/>
        </w:tabs>
        <w:rPr>
          <w:rFonts w:ascii="Times New Roman" w:hAnsi="Times New Roman" w:eastAsia="Times New Roman" w:cs="Times New Roman"/>
          <w:b/>
          <w:color w:val="000000"/>
          <w:spacing w:val="2"/>
          <w:sz w:val="28"/>
          <w:szCs w:val="28"/>
          <w:lang w:bidi="ru-RU"/>
        </w:rPr>
      </w:pPr>
      <w:r>
        <w:rPr>
          <w:rFonts w:ascii="Times New Roman" w:hAnsi="Times New Roman" w:eastAsia="Times New Roman" w:cs="Times New Roman"/>
          <w:b/>
          <w:color w:val="000000"/>
          <w:spacing w:val="2"/>
          <w:sz w:val="28"/>
          <w:szCs w:val="28"/>
          <w:lang w:bidi="ru-RU"/>
        </w:rPr>
        <w:t xml:space="preserve">О мерах поддержки в сфере имущественных и земельных отношений на территории Вейделевского района</w:t>
      </w:r>
      <w:r/>
    </w:p>
    <w:p>
      <w:pPr>
        <w:ind w:right="446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pacing w:val="2"/>
          <w:sz w:val="27"/>
          <w:szCs w:val="27"/>
          <w:lang w:bidi="ru-RU"/>
        </w:rPr>
      </w:pPr>
      <w:r>
        <w:rPr>
          <w:rFonts w:ascii="Times New Roman" w:hAnsi="Times New Roman" w:eastAsia="Times New Roman" w:cs="Times New Roman"/>
          <w:color w:val="000000"/>
          <w:spacing w:val="2"/>
          <w:sz w:val="27"/>
          <w:szCs w:val="27"/>
          <w:lang w:bidi="ru-RU"/>
        </w:rPr>
      </w:r>
      <w:r/>
    </w:p>
    <w:p>
      <w:pPr>
        <w:ind w:right="446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pacing w:val="2"/>
          <w:sz w:val="27"/>
          <w:szCs w:val="27"/>
          <w:lang w:bidi="ru-RU"/>
        </w:rPr>
      </w:pPr>
      <w:r>
        <w:rPr>
          <w:rFonts w:ascii="Times New Roman" w:hAnsi="Times New Roman" w:eastAsia="Times New Roman" w:cs="Times New Roman"/>
          <w:color w:val="000000"/>
          <w:spacing w:val="2"/>
          <w:sz w:val="27"/>
          <w:szCs w:val="27"/>
          <w:lang w:bidi="ru-RU"/>
        </w:rPr>
      </w:r>
      <w:r/>
    </w:p>
    <w:p>
      <w:pPr>
        <w:ind w:right="4462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pacing w:val="2"/>
          <w:sz w:val="27"/>
          <w:szCs w:val="27"/>
          <w:lang w:bidi="ru-RU"/>
        </w:rPr>
      </w:pPr>
      <w:r>
        <w:rPr>
          <w:rFonts w:ascii="Times New Roman" w:hAnsi="Times New Roman" w:eastAsia="Times New Roman" w:cs="Times New Roman"/>
          <w:color w:val="000000"/>
          <w:spacing w:val="2"/>
          <w:sz w:val="27"/>
          <w:szCs w:val="27"/>
          <w:lang w:bidi="ru-RU"/>
        </w:rPr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pacing w:val="2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Земельным</w:t>
      </w:r>
      <w:r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bCs/>
          <w:sz w:val="28"/>
          <w:szCs w:val="28"/>
        </w:rPr>
        <w:t xml:space="preserve">уководствуясь </w:t>
      </w:r>
      <w:r>
        <w:rPr>
          <w:rFonts w:ascii="Times New Roman" w:hAnsi="Times New Roman" w:cs="Times New Roman"/>
          <w:bCs/>
          <w:sz w:val="28"/>
          <w:szCs w:val="28"/>
        </w:rPr>
        <w:t xml:space="preserve">Федеральным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06 октября </w:t>
      </w:r>
      <w:r>
        <w:rPr>
          <w:rFonts w:ascii="Times New Roman" w:hAnsi="Times New Roman" w:cs="Times New Roman"/>
          <w:bCs/>
          <w:sz w:val="28"/>
          <w:szCs w:val="28"/>
        </w:rPr>
        <w:t xml:space="preserve">2003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г</w:t>
      </w:r>
      <w:r>
        <w:rPr>
          <w:rFonts w:ascii="Times New Roman" w:hAnsi="Times New Roman" w:cs="Times New Roman"/>
          <w:bCs/>
          <w:sz w:val="28"/>
          <w:szCs w:val="28"/>
        </w:rPr>
        <w:t xml:space="preserve">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3" w:tooltip="consultantplus://offline/ref=BBA700BDEF1F0B26CCE8A1DFDF3649DD06A35231D8B8251C70A14D567FB0EBF043F7541D3B1117BA9ADC00D552r8M" w:history="1">
        <w:r>
          <w:rPr>
            <w:rFonts w:ascii="Times New Roman" w:hAnsi="Times New Roman" w:cs="Times New Roman"/>
            <w:bCs/>
            <w:sz w:val="28"/>
            <w:szCs w:val="28"/>
          </w:rPr>
          <w:t xml:space="preserve">№</w:t>
        </w:r>
        <w:r>
          <w:rPr>
            <w:rFonts w:ascii="Times New Roman" w:hAnsi="Times New Roman" w:cs="Times New Roman"/>
            <w:bCs/>
            <w:sz w:val="28"/>
            <w:szCs w:val="28"/>
          </w:rPr>
          <w:t xml:space="preserve">131-ФЗ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Правительства Белгородской области от 07 ноября 2022 года №662-пп «</w:t>
      </w:r>
      <w:r>
        <w:rPr>
          <w:rFonts w:ascii="Times New Roman" w:hAnsi="Times New Roman" w:cs="Times New Roman"/>
          <w:bCs/>
          <w:sz w:val="28"/>
          <w:szCs w:val="28"/>
        </w:rPr>
        <w:t xml:space="preserve">О мерах поддержки в сфере имущественных и земельных отношений на территории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Белгородской области», </w:t>
      </w:r>
      <w:hyperlink r:id="rId14" w:tooltip="consultantplus://offline/ref=BBA700BDEF1F0B26CCF6ACC9B36C44D80EFC5934DBB471402FFA100176BABCA50CF608586E0216B99ADE03CA2332305FrAM" w:history="1">
        <w:r>
          <w:rPr>
            <w:rFonts w:ascii="Times New Roman" w:hAnsi="Times New Roman" w:cs="Times New Roman"/>
            <w:bCs/>
            <w:sz w:val="28"/>
            <w:szCs w:val="28"/>
          </w:rPr>
          <w:t xml:space="preserve">Уставом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«Вейделевский район» Белгородской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совета Вейделевского района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28 июля 2023 года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№</w:t>
      </w:r>
      <w:r>
        <w:rPr>
          <w:rFonts w:ascii="Times New Roman" w:hAnsi="Times New Roman" w:cs="Times New Roman"/>
          <w:bCs/>
          <w:sz w:val="28"/>
          <w:szCs w:val="28"/>
        </w:rPr>
        <w:t xml:space="preserve">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 утверждении </w:t>
      </w:r>
      <w:hyperlink r:id="rId15" w:tooltip="consultantplus://offline/ref=4EEE3E3A75822DF12FD4AAC045D09B6B326C2E91612A8E20A6C3623EEC116B5DC1E2E276BC634D774DBC212A8F245EF216FF7CCBEC9C06CCC5875DD9G" w:history="1">
        <w:r>
          <w:rPr>
            <w:rFonts w:ascii="Times New Roman" w:hAnsi="Times New Roman" w:cs="Times New Roman"/>
            <w:sz w:val="28"/>
            <w:szCs w:val="28"/>
          </w:rPr>
          <w:t xml:space="preserve">Положения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 порядке управления, распоряжения и списания муниципальной собственности муниципального района «Вейделевский район»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целях поддержки граж</w:t>
      </w:r>
      <w:r>
        <w:rPr>
          <w:rFonts w:ascii="Times New Roman" w:hAnsi="Times New Roman" w:cs="Times New Roman"/>
          <w:sz w:val="28"/>
          <w:szCs w:val="28"/>
        </w:rPr>
        <w:t xml:space="preserve">дан Российской Федерации, призванных в соответствии с Указом Президента Российской Федерации от 21 сентября 2022 года №647 «Об объявлении частичной мобилизации в Российской Федерации» на военную службу по мобилизации в Вооруженные Силы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pacing w:val="40"/>
          <w:sz w:val="28"/>
          <w:szCs w:val="28"/>
          <w:lang w:bidi="ru-RU"/>
        </w:rPr>
        <w:t xml:space="preserve">постановляю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bidi="ru-RU"/>
        </w:rPr>
        <w:t xml:space="preserve">:</w:t>
      </w:r>
      <w:r/>
    </w:p>
    <w:p>
      <w:pPr>
        <w:pStyle w:val="675"/>
        <w:numPr>
          <w:ilvl w:val="0"/>
          <w:numId w:val="2"/>
        </w:numPr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Предоставить физическим лицам,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призванным на военную службу по мобилизации в Вороженные Силы Российской Федерации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Указом Президента Российской Федерации от 21 сентября 2022 года №647 «</w:t>
      </w:r>
      <w:r>
        <w:rPr>
          <w:rFonts w:ascii="Times New Roman" w:hAnsi="Times New Roman" w:cs="Times New Roman"/>
          <w:sz w:val="28"/>
          <w:szCs w:val="28"/>
        </w:rPr>
        <w:t xml:space="preserve">Об объявлении частичной мобилизации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или проходящим военную службу по контракту, заключенному в соответствии с пунктом 7 статьи 38 Федерального закона от 28 марта 1998 года №53-ФЗ «О воинской обязанности и военной службе», либо зак</w:t>
      </w:r>
      <w:r>
        <w:rPr>
          <w:rFonts w:ascii="Times New Roman" w:hAnsi="Times New Roman" w:cs="Times New Roman"/>
          <w:sz w:val="28"/>
          <w:szCs w:val="28"/>
        </w:rPr>
        <w:t xml:space="preserve">лючившим контракт о добровольном содействии в выполнении задач, возложенных на Вороженные Силы Российской Федерации (далее – физическое лицо), а также юридическим лицам, в которых одно и то же физическое лицо является единственным учредителем (участником) </w:t>
      </w:r>
      <w:r>
        <w:rPr>
          <w:rFonts w:ascii="Times New Roman" w:hAnsi="Times New Roman" w:cs="Times New Roman"/>
          <w:sz w:val="28"/>
          <w:szCs w:val="28"/>
        </w:rPr>
        <w:t xml:space="preserve">юридического лица и его руководителем, на территории Вейделевского района Белгородской области следующие меры поддержки: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освобождение </w:t>
      </w:r>
      <w:r>
        <w:rPr>
          <w:rFonts w:ascii="Times New Roman" w:hAnsi="Times New Roman" w:cs="Times New Roman"/>
          <w:sz w:val="28"/>
          <w:szCs w:val="28"/>
        </w:rPr>
        <w:t xml:space="preserve">от уплаты арендных платежей по договорам аренды земельных участков, находящихся в муниципальной собственности и государственная собственность на которые не разграничена, иного имущества, находящегося в муниципальной собственности (далее – договоры аренды);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возможность досрочного расторжения договоров аренды без применения штрафных санкций.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Освобождение от уплаты арендных платежей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на период прохождения физическим лицом, указанным в пункте 1 настоящего постановления, военной службы или оказания им добровольного содействия в выполнении задач, возложенных на Вооруженные Силы Российской Федерации, и осуществляется на следующих условиях: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использования арендуемого по договору имущества в период прохождения физическим лицом военной службы или оказания им добровольного содействия в выполнении задач, возложенных на Вооруженные Силы Российской Федерации;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представление арендодателю физическим лицом (членом его семьи.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ным представителем) заявления об освобождении </w:t>
      </w:r>
      <w:r>
        <w:rPr>
          <w:rFonts w:ascii="Times New Roman" w:hAnsi="Times New Roman" w:cs="Times New Roman"/>
          <w:sz w:val="28"/>
          <w:szCs w:val="28"/>
        </w:rPr>
        <w:t xml:space="preserve">от уплаты арендной платы с приложением копий документов, подтверждающих факт прохождения военной службы или оказания добровольного содействия </w:t>
      </w:r>
      <w:r>
        <w:rPr>
          <w:rFonts w:ascii="Times New Roman" w:hAnsi="Times New Roman" w:cs="Times New Roman"/>
          <w:sz w:val="28"/>
          <w:szCs w:val="28"/>
        </w:rPr>
        <w:t xml:space="preserve">в выполнении задач, возложенных на Вооруженные Силы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недопущение установления дополнительных платежей, подлежащих уплате арендатором, в связи с предоставлением освобождения от уплаты арендных платежей;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осуществление арендодателем оплаты коммунальных платежей и иных эксплуатационных платежей, связанных </w:t>
      </w:r>
      <w:r>
        <w:rPr>
          <w:rFonts w:ascii="Times New Roman" w:hAnsi="Times New Roman" w:cs="Times New Roman"/>
          <w:sz w:val="28"/>
          <w:szCs w:val="28"/>
        </w:rPr>
        <w:t xml:space="preserve">с арендованным имуществом, в период освобождения от уплаты арендных платежей.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Расторжение договора аренды без применения штрафных санкций осуществляется на следующих условиях: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направление арендатором (уполномоченным им лицом)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арендодателю уведомления о расторжении договора аренды с приложением копий документов, подтверждающих факт прохождения военной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оказания добровольного содействия в выполнении задач, возложенных на Вооруженные Силы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расторжение договора аренды со дня получения арендодателем уведомления о расторжении договора аренды;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недопущение начисления штрафов, процентов за пользование чужими денежными средствами или применения иных мер ответственности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расторжением договора аренд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в случаях, если такие меры предусмотрены договором аренды).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– начальнику организационно-контрольного отдела Гончаренко О.Н. обеспечить опубликование настоящего постановления в печатном средстве массовой </w:t>
      </w:r>
      <w:r>
        <w:rPr>
          <w:rFonts w:ascii="Times New Roman" w:hAnsi="Times New Roman" w:cs="Times New Roman"/>
          <w:sz w:val="28"/>
          <w:szCs w:val="28"/>
        </w:rPr>
        <w:t xml:space="preserve">информации муниципального района «Вейделевский район» Белгородской области «Информационный бюллетень Вейделевского района».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Начальнику отдела делопроизводства, писем, по связям с общественностью и СМИ администрации Вейделевского района –  Авериной Н.В. обеспечить размещение настоящего постановления на официальном сайте администрации Вейделевского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Постановление администрации Вейделевского района Белгородской области от 09 декабря 2022 года №302 «О мерах поддержки в сфере имущественных и земельных отношений на территории Вейделевского района» признать утратившим силу.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выполн</w:t>
      </w:r>
      <w:r>
        <w:rPr>
          <w:rFonts w:ascii="Times New Roman" w:hAnsi="Times New Roman" w:cs="Times New Roman"/>
          <w:sz w:val="28"/>
          <w:szCs w:val="28"/>
        </w:rPr>
        <w:t xml:space="preserve">ением данного постановления возложить на заместителя главы администрации Вейделевского района по экономическому развитию, финансам и бюджетной политики – начальника управления финансов и налоговой политики администрации Вейделевского района Г.Н. Масютенко.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</w:t>
      </w:r>
      <w:r>
        <w:rPr>
          <w:rFonts w:ascii="Times New Roman" w:hAnsi="Times New Roman" w:cs="Times New Roman"/>
          <w:b/>
          <w:sz w:val="28"/>
          <w:szCs w:val="28"/>
        </w:rPr>
        <w:t xml:space="preserve">аместитель главы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секретарь </w:t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безопасности района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В. Таранцов</w:t>
      </w:r>
      <w:r/>
    </w:p>
    <w:p>
      <w:pPr>
        <w:pStyle w:val="675"/>
        <w:ind w:left="0" w:firstLine="851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/>
      <w:bookmarkStart w:id="0" w:name="_GoBack"/>
      <w:r/>
      <w:bookmarkEnd w:id="0"/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851" w:bottom="993" w:left="130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507135437"/>
      <w:docPartObj>
        <w:docPartGallery w:val="Page Numbers (Top of Page)"/>
        <w:docPartUnique w:val="true"/>
      </w:docPartObj>
      <w:rPr/>
    </w:sdtPr>
    <w:sdtContent>
      <w:p>
        <w:pPr>
          <w:pStyle w:val="66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65" w:hanging="1125"/>
      </w:pPr>
      <w:rPr>
        <w:rFonts w:hint="default" w:eastAsia="Times New Roman"/>
        <w:color w:val="000000"/>
        <w:sz w:val="28"/>
      </w:rPr>
    </w:lvl>
    <w:lvl w:ilvl="1">
      <w:start w:val="1"/>
      <w:numFmt w:val="decimal"/>
      <w:isLgl/>
      <w:suff w:val="tab"/>
      <w:lvlText w:val="%1.%2."/>
      <w:lvlJc w:val="left"/>
      <w:pPr>
        <w:ind w:left="1260" w:hanging="720"/>
      </w:pPr>
      <w:rPr>
        <w:rFonts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19" w:hanging="1410"/>
      </w:pPr>
      <w:rPr>
        <w:rFonts w:hint="default"/>
        <w:sz w:val="28"/>
        <w:szCs w:val="28"/>
      </w:rPr>
    </w:lvl>
    <w:lvl w:ilvl="1">
      <w:start w:val="1"/>
      <w:numFmt w:val="decimal"/>
      <w:isLgl/>
      <w:suff w:val="tab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suff w:val="tab"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64"/>
    <w:next w:val="66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6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64"/>
    <w:next w:val="66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6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64"/>
    <w:next w:val="66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6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64"/>
    <w:next w:val="66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6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64"/>
    <w:next w:val="66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6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64"/>
    <w:next w:val="66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6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64"/>
    <w:next w:val="66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6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64"/>
    <w:next w:val="66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6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64"/>
    <w:next w:val="66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6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64"/>
    <w:next w:val="66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65"/>
    <w:link w:val="33"/>
    <w:uiPriority w:val="10"/>
    <w:rPr>
      <w:sz w:val="48"/>
      <w:szCs w:val="48"/>
    </w:rPr>
  </w:style>
  <w:style w:type="paragraph" w:styleId="35">
    <w:name w:val="Subtitle"/>
    <w:basedOn w:val="664"/>
    <w:next w:val="66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65"/>
    <w:link w:val="35"/>
    <w:uiPriority w:val="11"/>
    <w:rPr>
      <w:sz w:val="24"/>
      <w:szCs w:val="24"/>
    </w:rPr>
  </w:style>
  <w:style w:type="paragraph" w:styleId="37">
    <w:name w:val="Quote"/>
    <w:basedOn w:val="664"/>
    <w:next w:val="66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64"/>
    <w:next w:val="66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65"/>
    <w:link w:val="668"/>
    <w:uiPriority w:val="99"/>
  </w:style>
  <w:style w:type="character" w:styleId="44">
    <w:name w:val="Footer Char"/>
    <w:basedOn w:val="665"/>
    <w:link w:val="670"/>
    <w:uiPriority w:val="99"/>
  </w:style>
  <w:style w:type="character" w:styleId="46">
    <w:name w:val="Caption Char"/>
    <w:basedOn w:val="672"/>
    <w:link w:val="670"/>
    <w:uiPriority w:val="99"/>
  </w:style>
  <w:style w:type="table" w:styleId="48">
    <w:name w:val="Table Grid Light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6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65"/>
    <w:uiPriority w:val="99"/>
    <w:unhideWhenUsed/>
    <w:rPr>
      <w:vertAlign w:val="superscript"/>
    </w:rPr>
  </w:style>
  <w:style w:type="paragraph" w:styleId="177">
    <w:name w:val="endnote text"/>
    <w:basedOn w:val="66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65"/>
    <w:uiPriority w:val="99"/>
    <w:semiHidden/>
    <w:unhideWhenUsed/>
    <w:rPr>
      <w:vertAlign w:val="superscript"/>
    </w:rPr>
  </w:style>
  <w:style w:type="paragraph" w:styleId="180">
    <w:name w:val="toc 1"/>
    <w:basedOn w:val="664"/>
    <w:next w:val="66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64"/>
    <w:next w:val="66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64"/>
    <w:next w:val="66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64"/>
    <w:next w:val="66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64"/>
    <w:next w:val="66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64"/>
    <w:next w:val="66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64"/>
    <w:next w:val="66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64"/>
    <w:next w:val="66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64"/>
    <w:next w:val="66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64"/>
    <w:next w:val="664"/>
    <w:uiPriority w:val="99"/>
    <w:unhideWhenUsed/>
    <w:pPr>
      <w:spacing w:after="0" w:afterAutospacing="0"/>
    </w:pPr>
  </w:style>
  <w:style w:type="paragraph" w:styleId="664" w:default="1">
    <w:name w:val="Normal"/>
    <w:qFormat/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paragraph" w:styleId="668">
    <w:name w:val="Header"/>
    <w:basedOn w:val="664"/>
    <w:link w:val="6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9" w:customStyle="1">
    <w:name w:val="Верхний колонтитул Знак"/>
    <w:basedOn w:val="665"/>
    <w:link w:val="668"/>
    <w:uiPriority w:val="99"/>
  </w:style>
  <w:style w:type="paragraph" w:styleId="670">
    <w:name w:val="Footer"/>
    <w:basedOn w:val="664"/>
    <w:link w:val="6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1" w:customStyle="1">
    <w:name w:val="Нижний колонтитул Знак"/>
    <w:basedOn w:val="665"/>
    <w:link w:val="670"/>
    <w:uiPriority w:val="99"/>
  </w:style>
  <w:style w:type="paragraph" w:styleId="672">
    <w:name w:val="Caption"/>
    <w:basedOn w:val="664"/>
    <w:next w:val="664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36"/>
      <w:szCs w:val="20"/>
    </w:rPr>
  </w:style>
  <w:style w:type="paragraph" w:styleId="673">
    <w:name w:val="Balloon Text"/>
    <w:basedOn w:val="664"/>
    <w:link w:val="67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74" w:customStyle="1">
    <w:name w:val="Текст выноски Знак"/>
    <w:basedOn w:val="665"/>
    <w:link w:val="673"/>
    <w:uiPriority w:val="99"/>
    <w:semiHidden/>
    <w:rPr>
      <w:rFonts w:ascii="Tahoma" w:hAnsi="Tahoma" w:cs="Tahoma"/>
      <w:sz w:val="16"/>
      <w:szCs w:val="16"/>
    </w:rPr>
  </w:style>
  <w:style w:type="paragraph" w:styleId="675">
    <w:name w:val="List Paragraph"/>
    <w:basedOn w:val="664"/>
    <w:qFormat/>
    <w:pPr>
      <w:contextualSpacing/>
      <w:ind w:left="720"/>
    </w:pPr>
  </w:style>
  <w:style w:type="table" w:styleId="676" w:customStyle="1">
    <w:name w:val="Сетка таблицы1"/>
    <w:basedOn w:val="666"/>
    <w:next w:val="677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77">
    <w:name w:val="Table Grid"/>
    <w:basedOn w:val="6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oleObject" Target="embeddings/oleObject1.bin"/><Relationship Id="rId13" Type="http://schemas.openxmlformats.org/officeDocument/2006/relationships/hyperlink" Target="consultantplus://offline/ref=BBA700BDEF1F0B26CCE8A1DFDF3649DD06A35231D8B8251C70A14D567FB0EBF043F7541D3B1117BA9ADC00D552r8M" TargetMode="External"/><Relationship Id="rId14" Type="http://schemas.openxmlformats.org/officeDocument/2006/relationships/hyperlink" Target="consultantplus://offline/ref=BBA700BDEF1F0B26CCF6ACC9B36C44D80EFC5934DBB471402FFA100176BABCA50CF608586E0216B99ADE03CA2332305FrAM" TargetMode="External"/><Relationship Id="rId15" Type="http://schemas.openxmlformats.org/officeDocument/2006/relationships/hyperlink" Target="consultantplus://offline/ref=4EEE3E3A75822DF12FD4AAC045D09B6B326C2E91612A8E20A6C3623EEC116B5DC1E2E276BC634D774DBC212A8F245EF216FF7CCBEC9C06CCC5875DD9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458C8-648B-4038-A8D0-3C99098D2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15</cp:revision>
  <dcterms:created xsi:type="dcterms:W3CDTF">2022-10-26T10:59:00Z</dcterms:created>
  <dcterms:modified xsi:type="dcterms:W3CDTF">2024-01-17T06:08:12Z</dcterms:modified>
</cp:coreProperties>
</file>