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after="2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object w:dxaOrig="2985" w:dyaOrig="363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60.3pt;height:67.1pt;mso-wrap-distance-left:0.0pt;mso-wrap-distance-top:0.0pt;mso-wrap-distance-right:0.0pt;mso-wrap-distance-bottom:0.0pt;" filled="f" stroked="f">
            <v:path textboxrect="0,0,0,0"/>
            <v:imagedata r:id="rId9" o:title=""/>
          </v:shape>
          <o:OLEObject DrawAspect="Content" r:id="rId10" ObjectID="_1525040" ProgID="PBrush" ShapeID="_x0000_i0" Type="Embed"/>
        </w:object>
      </w:r>
      <w:r/>
    </w:p>
    <w:p>
      <w:pPr>
        <w:contextualSpacing/>
        <w:spacing w:after="2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</w:r>
      <w:r/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 О С Т А Н О В Л Е Н И Е</w:t>
      </w:r>
      <w:r/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АДМИНИСТРАЦИИ ВЕЙДЕЛЕВСКОГО РАЙОНА</w:t>
      </w:r>
      <w:r/>
    </w:p>
    <w:p>
      <w:pPr>
        <w:contextualSpacing/>
        <w:jc w:val="center"/>
        <w:spacing w:after="20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БЕЛГОРОДСКОЙ ОБЛАСТИ</w:t>
      </w:r>
      <w:r/>
    </w:p>
    <w:p>
      <w:pPr>
        <w:contextualSpacing/>
        <w:jc w:val="center"/>
        <w:spacing w:after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п. Вейделевка</w:t>
      </w:r>
      <w:r/>
    </w:p>
    <w:p>
      <w:pPr>
        <w:spacing w:after="200" w:line="276" w:lineRule="auto"/>
        <w:rPr>
          <w:rFonts w:eastAsia="Times New Roman"/>
          <w:sz w:val="28"/>
          <w:szCs w:val="22"/>
        </w:rPr>
      </w:pPr>
      <w:r>
        <w:rPr>
          <w:rFonts w:eastAsia="Times New Roman"/>
          <w:sz w:val="28"/>
          <w:szCs w:val="22"/>
        </w:rPr>
      </w:r>
      <w:r/>
    </w:p>
    <w:p>
      <w:pPr>
        <w:ind w:firstLine="708"/>
        <w:spacing w:after="200" w:line="276" w:lineRule="auto"/>
        <w:rPr>
          <w:rFonts w:eastAsia="Times New Roman"/>
          <w:sz w:val="28"/>
          <w:szCs w:val="22"/>
        </w:rPr>
      </w:pPr>
      <w:r>
        <w:rPr>
          <w:rFonts w:eastAsia="Times New Roman"/>
          <w:sz w:val="28"/>
          <w:szCs w:val="22"/>
        </w:rPr>
        <w:t xml:space="preserve">«12»  марта</w:t>
      </w:r>
      <w:r>
        <w:rPr>
          <w:rFonts w:eastAsia="Times New Roman"/>
          <w:sz w:val="28"/>
          <w:szCs w:val="22"/>
        </w:rPr>
        <w:t xml:space="preserve"> </w:t>
      </w:r>
      <w:r>
        <w:rPr>
          <w:rFonts w:eastAsia="Times New Roman"/>
          <w:sz w:val="28"/>
          <w:szCs w:val="22"/>
        </w:rPr>
        <w:t xml:space="preserve">202</w:t>
      </w:r>
      <w:r>
        <w:rPr>
          <w:rFonts w:eastAsia="Times New Roman"/>
          <w:sz w:val="28"/>
          <w:szCs w:val="22"/>
        </w:rPr>
        <w:t xml:space="preserve">4</w:t>
      </w:r>
      <w:r>
        <w:rPr>
          <w:rFonts w:eastAsia="Times New Roman"/>
          <w:sz w:val="28"/>
          <w:szCs w:val="22"/>
        </w:rPr>
        <w:t xml:space="preserve"> </w:t>
      </w:r>
      <w:r>
        <w:rPr>
          <w:rFonts w:eastAsia="Times New Roman"/>
          <w:sz w:val="28"/>
          <w:szCs w:val="22"/>
        </w:rPr>
        <w:t xml:space="preserve"> г.                                                   №</w:t>
      </w:r>
      <w:r>
        <w:rPr>
          <w:rFonts w:eastAsia="Times New Roman"/>
          <w:sz w:val="28"/>
          <w:szCs w:val="22"/>
        </w:rPr>
        <w:t xml:space="preserve">77</w:t>
      </w:r>
      <w:r/>
    </w:p>
    <w:p>
      <w:pPr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</w:r>
      <w:r/>
    </w:p>
    <w:p>
      <w:pPr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</w:r>
      <w:r/>
    </w:p>
    <w:p>
      <w:pPr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</w:r>
      <w:r/>
    </w:p>
    <w:tbl>
      <w:tblPr>
        <w:tblW w:w="8606" w:type="dxa"/>
        <w:tblBorders>
          <w:insideH w:val="single" w:color="FFFFFF" w:sz="4" w:space="0"/>
        </w:tblBorders>
        <w:tblLook w:val="00A0" w:firstRow="1" w:lastRow="0" w:firstColumn="1" w:lastColumn="0" w:noHBand="0" w:noVBand="0"/>
      </w:tblPr>
      <w:tblGrid>
        <w:gridCol w:w="5495"/>
        <w:gridCol w:w="3111"/>
      </w:tblGrid>
      <w:tr>
        <w:trPr/>
        <w:tc>
          <w:tcPr>
            <w:tcW w:w="5495" w:type="dxa"/>
            <w:textDirection w:val="lrTb"/>
            <w:noWrap w:val="false"/>
          </w:tcPr>
          <w:p>
            <w:pPr>
              <w:contextualSpacing/>
              <w:jc w:val="both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в постановление администрации Вейделевского района от 19.05.2022 года № 146 </w:t>
            </w:r>
            <w:r/>
          </w:p>
        </w:tc>
        <w:tc>
          <w:tcPr>
            <w:tcW w:w="3111" w:type="dxa"/>
            <w:textDirection w:val="lrTb"/>
            <w:noWrap w:val="false"/>
          </w:tcPr>
          <w:p>
            <w:pPr>
              <w:contextualSpacing/>
              <w:spacing w:after="200" w:line="276" w:lineRule="auto"/>
              <w:widowControl w:val="o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</w:tr>
    </w:tbl>
    <w:p>
      <w:pPr>
        <w:contextualSpacing/>
        <w:jc w:val="both"/>
        <w:spacing w:line="276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/>
        <w:jc w:val="both"/>
        <w:spacing w:line="276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/>
        <w:jc w:val="both"/>
        <w:spacing w:line="276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5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кадровыми изменениями в администрации Вейделевского района, руководствуясь 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«Вейделевский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  <w:r/>
    </w:p>
    <w:p>
      <w:pPr>
        <w:pStyle w:val="645"/>
        <w:contextualSpacing/>
        <w:ind w:firstLine="539"/>
        <w:jc w:val="both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следующ</w:t>
      </w:r>
      <w:r>
        <w:rPr>
          <w:rFonts w:ascii="Times New Roman" w:hAnsi="Times New Roman" w:cs="Times New Roman"/>
          <w:sz w:val="28"/>
          <w:szCs w:val="28"/>
        </w:rPr>
        <w:t xml:space="preserve">ие изменения в постановление администрации Вейделевского района Белгородской области от 19 мая 2022 года № 146 «Об утверждении схемы размещения нестационарных торговых объектов на территории муниципального района «Вейделевский район» Белгородской области»:</w:t>
      </w:r>
      <w:r/>
    </w:p>
    <w:p>
      <w:pPr>
        <w:pStyle w:val="645"/>
        <w:contextualSpacing/>
        <w:ind w:firstLine="539"/>
        <w:jc w:val="both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Состав Комиссии на предоставление права заключения договора на размещение нестационарного торгового объекта на территории муниципального района «Вейделевский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 </w:t>
      </w:r>
      <w:r>
        <w:rPr>
          <w:rFonts w:ascii="Times New Roman" w:hAnsi="Times New Roman" w:cs="Times New Roman"/>
          <w:sz w:val="28"/>
          <w:szCs w:val="28"/>
        </w:rPr>
        <w:t xml:space="preserve">приложени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№1.</w:t>
      </w:r>
      <w:r/>
    </w:p>
    <w:p>
      <w:pPr>
        <w:pStyle w:val="645"/>
        <w:contextualSpacing/>
        <w:ind w:firstLine="539"/>
        <w:jc w:val="both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Состав Комиссии </w:t>
      </w:r>
      <w:r>
        <w:rPr>
          <w:rFonts w:ascii="Times New Roman" w:hAnsi="Times New Roman" w:cs="Times New Roman"/>
          <w:sz w:val="28"/>
          <w:szCs w:val="28"/>
        </w:rPr>
        <w:t xml:space="preserve">по проведению конкурса на право заключения договора на размещение нестационарного торгового объекта по распространению периодической печатной продукции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«Вейделевский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</w:rPr>
        <w:t xml:space="preserve">в ново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 </w:t>
      </w:r>
      <w:r>
        <w:rPr>
          <w:rFonts w:ascii="Times New Roman" w:hAnsi="Times New Roman" w:cs="Times New Roman"/>
          <w:sz w:val="28"/>
          <w:szCs w:val="28"/>
        </w:rPr>
        <w:t xml:space="preserve">приложени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№2.</w:t>
      </w:r>
      <w:r/>
    </w:p>
    <w:p>
      <w:pPr>
        <w:pStyle w:val="645"/>
        <w:contextualSpacing/>
        <w:ind w:firstLine="539"/>
        <w:jc w:val="both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Заместителю начальника управления по организационно-контрольной и кадровой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  <w:t xml:space="preserve"> – начальнику организационно – контрольного отдела </w:t>
      </w:r>
      <w:r>
        <w:rPr>
          <w:rFonts w:ascii="Times New Roman" w:hAnsi="Times New Roman" w:cs="Times New Roman"/>
          <w:sz w:val="28"/>
          <w:szCs w:val="28"/>
        </w:rPr>
        <w:t xml:space="preserve">управления по организационно-контрольной и кадровой работе 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Гончаренко О.Н. опубликовать настоящее постановление в печатном средстве массовой информации муниципального района «Вейделевский район» «Информационный бюллетень Вейделевского района».</w:t>
      </w:r>
      <w:r/>
    </w:p>
    <w:p>
      <w:pPr>
        <w:pStyle w:val="645"/>
        <w:contextualSpacing/>
        <w:ind w:firstLine="539"/>
        <w:jc w:val="both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Начальнику отдела делопроизводства, писем по связям с общественностью и СМИ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Вейделевского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Авериной</w:t>
      </w:r>
      <w:r>
        <w:rPr>
          <w:rFonts w:ascii="Times New Roman" w:hAnsi="Times New Roman" w:cs="Times New Roman"/>
          <w:sz w:val="28"/>
          <w:szCs w:val="28"/>
        </w:rPr>
        <w:t xml:space="preserve"> Н.В. </w:t>
      </w:r>
      <w:r>
        <w:rPr>
          <w:rFonts w:ascii="Times New Roman" w:hAnsi="Times New Roman" w:cs="Times New Roman"/>
          <w:sz w:val="28"/>
          <w:szCs w:val="28"/>
        </w:rPr>
        <w:t xml:space="preserve">разместить</w:t>
      </w:r>
      <w:r>
        <w:rPr>
          <w:rFonts w:ascii="Times New Roman" w:hAnsi="Times New Roman" w:cs="Times New Roman"/>
          <w:sz w:val="28"/>
          <w:szCs w:val="28"/>
        </w:rPr>
        <w:t xml:space="preserve"> данное постановление на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Вейделевского района.</w:t>
      </w:r>
      <w:r/>
    </w:p>
    <w:p>
      <w:pPr>
        <w:pStyle w:val="645"/>
        <w:contextualSpacing/>
        <w:ind w:firstLine="539"/>
        <w:jc w:val="both"/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заместителем главы администрации Вейделевского района по экономическому развитию, финансам и бюджетной политики - начальник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управления финансов и налоговой политики 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Масютенко</w:t>
      </w:r>
      <w:r>
        <w:rPr>
          <w:rFonts w:ascii="Times New Roman" w:hAnsi="Times New Roman" w:cs="Times New Roman"/>
          <w:sz w:val="28"/>
          <w:szCs w:val="28"/>
        </w:rPr>
        <w:t xml:space="preserve"> Г.Н.</w:t>
      </w:r>
      <w:r/>
    </w:p>
    <w:p>
      <w:pPr>
        <w:pStyle w:val="645"/>
        <w:contextualSpacing/>
        <w:jc w:val="both"/>
        <w:spacing w:before="100" w:beforeAutospacing="1" w:after="100" w:afterAutospacing="1"/>
        <w:tabs>
          <w:tab w:val="left" w:pos="450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45"/>
        <w:contextualSpacing/>
        <w:jc w:val="both"/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45"/>
        <w:contextualSpacing/>
        <w:jc w:val="both"/>
        <w:spacing w:before="100" w:beforeAutospacing="1" w:after="100" w:afterAutospacing="1"/>
        <w:tabs>
          <w:tab w:val="center" w:pos="4947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r/>
    </w:p>
    <w:p>
      <w:pPr>
        <w:pStyle w:val="645"/>
        <w:contextualSpacing/>
        <w:jc w:val="both"/>
        <w:spacing w:before="100" w:beforeAutospacing="1" w:after="100" w:afterAutospacing="1"/>
        <w:tabs>
          <w:tab w:val="center" w:pos="4947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Вейделевского района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А. </w:t>
      </w:r>
      <w:r>
        <w:rPr>
          <w:rFonts w:ascii="Times New Roman" w:hAnsi="Times New Roman" w:cs="Times New Roman"/>
          <w:b/>
          <w:sz w:val="28"/>
          <w:szCs w:val="28"/>
        </w:rPr>
        <w:t xml:space="preserve">Самойлова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  Приложение </w:t>
      </w:r>
      <w:r>
        <w:rPr>
          <w:rFonts w:eastAsia="Times New Roman"/>
          <w:b/>
          <w:sz w:val="28"/>
          <w:szCs w:val="28"/>
        </w:rPr>
        <w:t xml:space="preserve">№1</w:t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к постановлению администрации </w:t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        Вейделевского района</w:t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от  12  марта  202</w:t>
      </w:r>
      <w:r>
        <w:rPr>
          <w:rFonts w:eastAsia="Times New Roman"/>
          <w:b/>
          <w:sz w:val="28"/>
          <w:szCs w:val="28"/>
        </w:rPr>
        <w:t xml:space="preserve">4</w:t>
      </w:r>
      <w:r>
        <w:rPr>
          <w:rFonts w:eastAsia="Times New Roman"/>
          <w:b/>
          <w:sz w:val="28"/>
          <w:szCs w:val="28"/>
        </w:rPr>
        <w:t xml:space="preserve"> г. № 77</w:t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УТВЕРЖДЕН:</w:t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постановлением администрации</w:t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Вейделевского района</w:t>
      </w:r>
      <w:r/>
    </w:p>
    <w:p>
      <w:pPr>
        <w:jc w:val="center"/>
        <w:widowControl w:val="off"/>
        <w:rPr>
          <w:rFonts w:eastAsia="Times New Roman"/>
          <w:sz w:val="22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  <w:t xml:space="preserve">от  12  марта  202</w:t>
      </w:r>
      <w:r>
        <w:rPr>
          <w:rFonts w:eastAsia="Times New Roman"/>
          <w:b/>
          <w:sz w:val="28"/>
          <w:szCs w:val="28"/>
        </w:rPr>
        <w:t xml:space="preserve">4</w:t>
      </w:r>
      <w:r>
        <w:rPr>
          <w:rFonts w:eastAsia="Times New Roman"/>
          <w:b/>
          <w:sz w:val="28"/>
          <w:szCs w:val="28"/>
        </w:rPr>
        <w:t xml:space="preserve"> г. № 77</w:t>
      </w:r>
      <w:r/>
      <w:r>
        <w:rPr>
          <w:rFonts w:eastAsia="Times New Roman"/>
          <w:b/>
          <w:sz w:val="28"/>
          <w:szCs w:val="28"/>
        </w:rPr>
      </w:r>
      <w:r/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Состав</w:t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Комиссии на предоставление права заключения договора на размещение нестационарного торгового объекта на территории муниципального района «Вейделевский район» Белгородской области</w:t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 w:cs="Calibri"/>
          <w:b/>
          <w:sz w:val="28"/>
          <w:szCs w:val="28"/>
        </w:rPr>
      </w:pPr>
      <w:r>
        <w:rPr>
          <w:rFonts w:eastAsia="Times New Roman" w:cs="Calibri"/>
          <w:b/>
          <w:sz w:val="28"/>
          <w:szCs w:val="28"/>
        </w:rPr>
      </w:r>
      <w:r/>
    </w:p>
    <w:tbl>
      <w:tblPr>
        <w:tblW w:w="0" w:type="auto"/>
        <w:tblLook w:val="00A0" w:firstRow="1" w:lastRow="0" w:firstColumn="1" w:lastColumn="0" w:noHBand="0" w:noVBand="0"/>
      </w:tblPr>
      <w:tblGrid>
        <w:gridCol w:w="3085"/>
        <w:gridCol w:w="6485"/>
      </w:tblGrid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Самойлова А.В.</w:t>
            </w:r>
            <w:r>
              <w:rPr>
                <w:b/>
                <w:sz w:val="28"/>
                <w:szCs w:val="28"/>
              </w:rPr>
              <w:t xml:space="preserve"> 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12"/>
                <w:szCs w:val="28"/>
              </w:rPr>
            </w:pPr>
            <w:r>
              <w:rPr>
                <w:sz w:val="28"/>
                <w:szCs w:val="28"/>
              </w:rPr>
              <w:t xml:space="preserve">- глава администрации Вейделевского района – председатель комиссии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Масютенко</w:t>
            </w:r>
            <w:r>
              <w:rPr>
                <w:b/>
                <w:sz w:val="28"/>
                <w:szCs w:val="28"/>
              </w:rPr>
              <w:t xml:space="preserve"> Г.Н.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12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администрации Вейделевского района по экономическому развитию, финансам и бюджетной политики - начальник управления финансов и налоговой политики администрации Вейделевского района</w:t>
            </w:r>
            <w:r>
              <w:rPr>
                <w:sz w:val="28"/>
                <w:szCs w:val="28"/>
              </w:rPr>
              <w:t xml:space="preserve"> – заместитель председателя комиссии;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Красникова И.И.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начальника экономического отдела управления экономического развития и прогнозирования администрации Вейделевского района – секретарь комиссии.</w:t>
            </w:r>
            <w:r/>
          </w:p>
        </w:tc>
      </w:tr>
      <w:tr>
        <w:trPr/>
        <w:tc>
          <w:tcPr>
            <w:gridSpan w:val="2"/>
            <w:tcW w:w="9570" w:type="dxa"/>
            <w:textDirection w:val="lrTb"/>
            <w:noWrap w:val="false"/>
          </w:tcPr>
          <w:p>
            <w:pPr>
              <w:rPr>
                <w:b/>
                <w:sz w:val="10"/>
                <w:szCs w:val="28"/>
              </w:rPr>
            </w:pPr>
            <w:r>
              <w:rPr>
                <w:b/>
                <w:sz w:val="10"/>
                <w:szCs w:val="28"/>
              </w:rPr>
            </w:r>
            <w:r/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Члены комиссии:</w:t>
            </w:r>
            <w:r/>
          </w:p>
          <w:p>
            <w:pPr>
              <w:rPr>
                <w:b/>
                <w:sz w:val="16"/>
                <w:szCs w:val="28"/>
              </w:rPr>
            </w:pPr>
            <w:r>
              <w:rPr>
                <w:b/>
                <w:sz w:val="16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Адонин</w:t>
            </w:r>
            <w:r>
              <w:rPr>
                <w:b/>
                <w:sz w:val="28"/>
                <w:szCs w:val="28"/>
              </w:rPr>
              <w:t xml:space="preserve"> А.Ю.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администрации Вейделевского района – начальник управления строительства, архитектуры и ЖКХ района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Глумова</w:t>
            </w:r>
            <w:r>
              <w:rPr>
                <w:b/>
                <w:sz w:val="28"/>
                <w:szCs w:val="28"/>
              </w:rPr>
              <w:t xml:space="preserve"> М.А.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управления экономического развития и прогнозирования администрации Вейделевского района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Выскребенцева И.Н.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экономического отдела управления экономического развития и прогнозирования администрации Вейделевского района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Мартыненко В.Г.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архитектуры и градостроительства администрации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 – главный архитектор администрации района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Ханина О.Н.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12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руководителя аппарата главы администрации района - начальник юридического отдела администрации Вейделевского района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Слободчук</w:t>
            </w:r>
            <w:r>
              <w:rPr>
                <w:b/>
                <w:sz w:val="28"/>
                <w:szCs w:val="28"/>
              </w:rPr>
              <w:t xml:space="preserve"> А.С.  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глава администрации городского поселения муниципального района «Вейделевский район»  Белгородской области (по согласованию)</w:t>
            </w:r>
            <w:r>
              <w:rPr>
                <w:sz w:val="28"/>
                <w:szCs w:val="28"/>
              </w:rPr>
              <w:t xml:space="preserve">.</w:t>
            </w:r>
            <w:r/>
          </w:p>
        </w:tc>
      </w:tr>
    </w:tbl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/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/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на право заключения договора на раз</w:t>
      </w:r>
      <w:r>
        <w:rPr>
          <w:rFonts w:eastAsia="Times New Roman"/>
          <w:sz w:val="28"/>
          <w:szCs w:val="28"/>
        </w:rPr>
        <w:t xml:space="preserve">мещение нестационарных торговых объектов на территории муниципального района «Вейделевский район» включать в состав комиссии глав администраций городского и сельских поселений, на территории которых планируется размещение нестационарного торгового объекта.</w:t>
      </w:r>
      <w:r/>
    </w:p>
    <w:p>
      <w:pPr>
        <w:ind w:firstLine="540"/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</w:t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  Приложение </w:t>
      </w:r>
      <w:r>
        <w:rPr>
          <w:rFonts w:eastAsia="Times New Roman"/>
          <w:b/>
          <w:sz w:val="28"/>
          <w:szCs w:val="28"/>
        </w:rPr>
        <w:t xml:space="preserve">№1</w:t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к постановлению администрации </w:t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        Вейделевского района</w:t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от  12  марта  202</w:t>
      </w:r>
      <w:r>
        <w:rPr>
          <w:rFonts w:eastAsia="Times New Roman"/>
          <w:b/>
          <w:sz w:val="28"/>
          <w:szCs w:val="28"/>
        </w:rPr>
        <w:t xml:space="preserve">4</w:t>
      </w:r>
      <w:r>
        <w:rPr>
          <w:rFonts w:eastAsia="Times New Roman"/>
          <w:b/>
          <w:sz w:val="28"/>
          <w:szCs w:val="28"/>
        </w:rPr>
        <w:t xml:space="preserve"> г. № 77</w:t>
      </w:r>
      <w:r/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УТВЕРЖДЕН:</w:t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постановлением администрации</w:t>
      </w:r>
      <w:r/>
    </w:p>
    <w:p>
      <w:pPr>
        <w:jc w:val="center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Вейделевского района</w:t>
      </w:r>
      <w:r/>
    </w:p>
    <w:p>
      <w:pPr>
        <w:jc w:val="center"/>
        <w:widowControl w:val="off"/>
        <w:rPr>
          <w:rFonts w:eastAsia="Times New Roman"/>
          <w:sz w:val="22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</w:t>
      </w:r>
      <w:r>
        <w:rPr>
          <w:rFonts w:eastAsia="Times New Roman"/>
          <w:b/>
          <w:sz w:val="28"/>
          <w:szCs w:val="28"/>
        </w:rPr>
        <w:t xml:space="preserve">от  12  марта  202</w:t>
      </w:r>
      <w:r>
        <w:rPr>
          <w:rFonts w:eastAsia="Times New Roman"/>
          <w:b/>
          <w:sz w:val="28"/>
          <w:szCs w:val="28"/>
        </w:rPr>
        <w:t xml:space="preserve">4</w:t>
      </w:r>
      <w:r>
        <w:rPr>
          <w:rFonts w:eastAsia="Times New Roman"/>
          <w:b/>
          <w:sz w:val="28"/>
          <w:szCs w:val="28"/>
        </w:rPr>
        <w:t xml:space="preserve"> г. № 77</w:t>
      </w:r>
      <w:r/>
      <w:r>
        <w:rPr>
          <w:rFonts w:eastAsia="Times New Roman"/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проведению конкурса на право заключения договора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размещение нестационарного торгового объекта по распространению периодической печатной продукции на территории муниципального района «Вейделевский район» Белгородской области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tbl>
      <w:tblPr>
        <w:tblW w:w="0" w:type="auto"/>
        <w:tblLook w:val="00A0" w:firstRow="1" w:lastRow="0" w:firstColumn="1" w:lastColumn="0" w:noHBand="0" w:noVBand="0"/>
      </w:tblPr>
      <w:tblGrid>
        <w:gridCol w:w="3085"/>
        <w:gridCol w:w="6485"/>
      </w:tblGrid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Самойлова А.В.</w:t>
            </w:r>
            <w:r>
              <w:rPr>
                <w:b/>
                <w:sz w:val="28"/>
                <w:szCs w:val="28"/>
              </w:rPr>
              <w:t xml:space="preserve"> 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12"/>
                <w:szCs w:val="28"/>
              </w:rPr>
            </w:pPr>
            <w:r>
              <w:rPr>
                <w:sz w:val="28"/>
                <w:szCs w:val="28"/>
              </w:rPr>
              <w:t xml:space="preserve">- глава администрации Вейделевского района – председатель комиссии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Масютенко</w:t>
            </w:r>
            <w:r>
              <w:rPr>
                <w:b/>
                <w:sz w:val="28"/>
                <w:szCs w:val="28"/>
              </w:rPr>
              <w:t xml:space="preserve"> Г.Н.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12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администрации Вейделевского района по экономическому развитию, финансам и бюджетной политики - начальник управления финансов и налоговой политики администрации Вейделевского района</w:t>
            </w:r>
            <w:r>
              <w:rPr>
                <w:sz w:val="28"/>
                <w:szCs w:val="28"/>
              </w:rPr>
              <w:t xml:space="preserve"> – заместитель председателя комиссии;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Красникова И.И.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начальника экономического отдела управления экономического развития и прогнозирования администрации Вейделевского района – секретарь комиссии.</w:t>
            </w:r>
            <w:r/>
          </w:p>
        </w:tc>
      </w:tr>
      <w:tr>
        <w:trPr/>
        <w:tc>
          <w:tcPr>
            <w:gridSpan w:val="2"/>
            <w:tcW w:w="9570" w:type="dxa"/>
            <w:textDirection w:val="lrTb"/>
            <w:noWrap w:val="false"/>
          </w:tcPr>
          <w:p>
            <w:pPr>
              <w:rPr>
                <w:b/>
                <w:sz w:val="10"/>
                <w:szCs w:val="28"/>
              </w:rPr>
            </w:pPr>
            <w:r>
              <w:rPr>
                <w:b/>
                <w:sz w:val="10"/>
                <w:szCs w:val="28"/>
              </w:rPr>
            </w:r>
            <w:r/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Члены комиссии:</w:t>
            </w:r>
            <w:r/>
          </w:p>
          <w:p>
            <w:pPr>
              <w:rPr>
                <w:b/>
                <w:sz w:val="16"/>
                <w:szCs w:val="28"/>
              </w:rPr>
            </w:pPr>
            <w:r>
              <w:rPr>
                <w:b/>
                <w:sz w:val="16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Адонин</w:t>
            </w:r>
            <w:r>
              <w:rPr>
                <w:b/>
                <w:sz w:val="28"/>
                <w:szCs w:val="28"/>
              </w:rPr>
              <w:t xml:space="preserve"> А.Ю.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администрации Вейделевского района – начальник управления строительства, архитектуры и ЖКХ района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Глумова</w:t>
            </w:r>
            <w:r>
              <w:rPr>
                <w:b/>
                <w:sz w:val="28"/>
                <w:szCs w:val="28"/>
              </w:rPr>
              <w:t xml:space="preserve"> М.А.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управления экономического развития и прогнозирования администрации Вейделевского района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Выскребенцева И.Н.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экономического отдела управления экономического развития и прогнозирования администрации Вейделевского района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Мартыненко В.Г.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архитектуры и градостроительства администрации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Вейделевского</w:t>
            </w:r>
            <w:r>
              <w:rPr>
                <w:sz w:val="28"/>
                <w:szCs w:val="28"/>
              </w:rPr>
              <w:t xml:space="preserve"> района – главный архитектор администрации района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Ханина О.Н.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12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руководителя аппарата главы администрации района - начальник юридического отдела администрации Вейделевского района</w:t>
            </w:r>
            <w:r>
              <w:rPr>
                <w:sz w:val="28"/>
                <w:szCs w:val="28"/>
              </w:rPr>
              <w:t xml:space="preserve">;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Слободчук</w:t>
            </w:r>
            <w:r>
              <w:rPr>
                <w:b/>
                <w:sz w:val="28"/>
                <w:szCs w:val="28"/>
              </w:rPr>
              <w:t xml:space="preserve"> А.С.  </w:t>
            </w:r>
            <w:r/>
          </w:p>
        </w:tc>
        <w:tc>
          <w:tcPr>
            <w:tcW w:w="648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глава администрации городского поселения муниципального района «Вейделевский район»  Белгородской области (по согласованию)</w:t>
            </w:r>
            <w:r>
              <w:rPr>
                <w:sz w:val="28"/>
                <w:szCs w:val="28"/>
              </w:rPr>
              <w:t xml:space="preserve">.</w:t>
            </w:r>
            <w:r/>
          </w:p>
        </w:tc>
      </w:tr>
    </w:tbl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/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/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проведен</w:t>
      </w:r>
      <w:r>
        <w:rPr>
          <w:rFonts w:eastAsia="Times New Roman"/>
          <w:sz w:val="28"/>
          <w:szCs w:val="28"/>
        </w:rPr>
        <w:t xml:space="preserve">ии ау</w:t>
      </w:r>
      <w:r>
        <w:rPr>
          <w:rFonts w:eastAsia="Times New Roman"/>
          <w:sz w:val="28"/>
          <w:szCs w:val="28"/>
        </w:rPr>
        <w:t xml:space="preserve">кциона на право заключения договора на раз</w:t>
      </w:r>
      <w:r>
        <w:rPr>
          <w:rFonts w:eastAsia="Times New Roman"/>
          <w:sz w:val="28"/>
          <w:szCs w:val="28"/>
        </w:rPr>
        <w:t xml:space="preserve">мещение нестационарных торговых объектов на территории муниципального района «Вейделевский район» включать в состав комиссии глав администраций городского и сельских поселений, на территории которых планируется размещение нестационарного торгового объекта.</w:t>
      </w:r>
      <w:r/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/>
    </w:p>
    <w:p>
      <w:pPr>
        <w:ind w:firstLine="540"/>
        <w:jc w:val="center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_______________</w:t>
      </w:r>
      <w:r/>
    </w:p>
    <w:p>
      <w:pPr>
        <w:ind w:firstLine="540"/>
        <w:jc w:val="both"/>
        <w:widowControl w:val="off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p>
      <w:pPr>
        <w:jc w:val="right"/>
        <w:widowControl w:val="off"/>
        <w:tabs>
          <w:tab w:val="left" w:pos="4005" w:leader="none"/>
          <w:tab w:val="right" w:pos="5531" w:leader="none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993" w:right="849" w:bottom="993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firstLine="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5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firstLine="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5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913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3633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3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0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793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5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2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953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673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5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9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1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3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5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7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9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15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num w:numId="1">
    <w:abstractNumId w:val="17"/>
  </w:num>
  <w:num w:numId="2">
    <w:abstractNumId w:val="15"/>
  </w:num>
  <w:num w:numId="3">
    <w:abstractNumId w:val="14"/>
  </w:num>
  <w:num w:numId="4">
    <w:abstractNumId w:val="19"/>
  </w:num>
  <w:num w:numId="5">
    <w:abstractNumId w:val="12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11"/>
  </w:num>
  <w:num w:numId="13">
    <w:abstractNumId w:val="16"/>
  </w:num>
  <w:num w:numId="14">
    <w:abstractNumId w:val="0"/>
  </w:num>
  <w:num w:numId="15">
    <w:abstractNumId w:val="8"/>
  </w:num>
  <w:num w:numId="16">
    <w:abstractNumId w:val="13"/>
  </w:num>
  <w:num w:numId="17">
    <w:abstractNumId w:val="9"/>
  </w:num>
  <w:num w:numId="18">
    <w:abstractNumId w:val="1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38"/>
    <w:next w:val="63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3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38"/>
    <w:next w:val="63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3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38"/>
    <w:next w:val="63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3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38"/>
    <w:next w:val="63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3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38"/>
    <w:next w:val="63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3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38"/>
    <w:next w:val="63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3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38"/>
    <w:next w:val="63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3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38"/>
    <w:next w:val="63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3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38"/>
    <w:next w:val="63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3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38"/>
    <w:next w:val="63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39"/>
    <w:link w:val="33"/>
    <w:uiPriority w:val="10"/>
    <w:rPr>
      <w:sz w:val="48"/>
      <w:szCs w:val="48"/>
    </w:rPr>
  </w:style>
  <w:style w:type="paragraph" w:styleId="35">
    <w:name w:val="Subtitle"/>
    <w:basedOn w:val="638"/>
    <w:next w:val="63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39"/>
    <w:link w:val="35"/>
    <w:uiPriority w:val="11"/>
    <w:rPr>
      <w:sz w:val="24"/>
      <w:szCs w:val="24"/>
    </w:rPr>
  </w:style>
  <w:style w:type="paragraph" w:styleId="37">
    <w:name w:val="Quote"/>
    <w:basedOn w:val="638"/>
    <w:next w:val="63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38"/>
    <w:next w:val="63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39"/>
    <w:link w:val="652"/>
    <w:uiPriority w:val="99"/>
  </w:style>
  <w:style w:type="character" w:styleId="44">
    <w:name w:val="Footer Char"/>
    <w:basedOn w:val="639"/>
    <w:link w:val="654"/>
    <w:uiPriority w:val="99"/>
  </w:style>
  <w:style w:type="paragraph" w:styleId="45">
    <w:name w:val="Caption"/>
    <w:basedOn w:val="638"/>
    <w:next w:val="6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54"/>
    <w:uiPriority w:val="99"/>
  </w:style>
  <w:style w:type="table" w:styleId="48">
    <w:name w:val="Table Grid Light"/>
    <w:basedOn w:val="6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3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39"/>
    <w:uiPriority w:val="99"/>
    <w:unhideWhenUsed/>
    <w:rPr>
      <w:vertAlign w:val="superscript"/>
    </w:rPr>
  </w:style>
  <w:style w:type="paragraph" w:styleId="177">
    <w:name w:val="endnote text"/>
    <w:basedOn w:val="63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39"/>
    <w:uiPriority w:val="99"/>
    <w:semiHidden/>
    <w:unhideWhenUsed/>
    <w:rPr>
      <w:vertAlign w:val="superscript"/>
    </w:rPr>
  </w:style>
  <w:style w:type="paragraph" w:styleId="180">
    <w:name w:val="toc 1"/>
    <w:basedOn w:val="638"/>
    <w:next w:val="63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38"/>
    <w:next w:val="63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38"/>
    <w:next w:val="63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38"/>
    <w:next w:val="63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38"/>
    <w:next w:val="63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38"/>
    <w:next w:val="63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38"/>
    <w:next w:val="63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38"/>
    <w:next w:val="63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38"/>
    <w:next w:val="63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38"/>
    <w:next w:val="638"/>
    <w:uiPriority w:val="99"/>
    <w:unhideWhenUsed/>
    <w:pPr>
      <w:spacing w:after="0" w:afterAutospacing="0"/>
    </w:pPr>
  </w:style>
  <w:style w:type="paragraph" w:styleId="638" w:default="1">
    <w:name w:val="Normal"/>
    <w:qFormat/>
    <w:pPr>
      <w:jc w:val="left"/>
    </w:pPr>
    <w:rPr>
      <w:rFonts w:eastAsia="Calibri"/>
      <w:sz w:val="20"/>
      <w:szCs w:val="20"/>
      <w:lang w:eastAsia="ru-RU"/>
    </w:rPr>
  </w:style>
  <w:style w:type="character" w:styleId="639" w:default="1">
    <w:name w:val="Default Paragraph Font"/>
    <w:uiPriority w:val="1"/>
    <w:semiHidden/>
    <w:unhideWhenUsed/>
  </w:style>
  <w:style w:type="table" w:styleId="6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1" w:default="1">
    <w:name w:val="No List"/>
    <w:uiPriority w:val="99"/>
    <w:semiHidden/>
    <w:unhideWhenUsed/>
  </w:style>
  <w:style w:type="table" w:styleId="642">
    <w:name w:val="Table Grid"/>
    <w:basedOn w:val="640"/>
    <w:uiPriority w:val="99"/>
    <w:pPr>
      <w:jc w:val="left"/>
    </w:pPr>
    <w:rPr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43">
    <w:name w:val="Hyperlink"/>
    <w:uiPriority w:val="99"/>
    <w:rPr>
      <w:color w:val="0000ff"/>
      <w:u w:val="single"/>
    </w:rPr>
  </w:style>
  <w:style w:type="paragraph" w:styleId="644">
    <w:name w:val="List Paragraph"/>
    <w:basedOn w:val="638"/>
    <w:uiPriority w:val="99"/>
    <w:qFormat/>
    <w:pPr>
      <w:contextualSpacing/>
      <w:ind w:left="720"/>
    </w:pPr>
  </w:style>
  <w:style w:type="paragraph" w:styleId="645" w:customStyle="1">
    <w:name w:val="ConsPlusNormal"/>
    <w:pPr>
      <w:jc w:val="left"/>
      <w:widowControl w:val="off"/>
    </w:pPr>
    <w:rPr>
      <w:rFonts w:ascii="Calibri" w:hAnsi="Calibri" w:eastAsia="Times New Roman" w:cs="Calibri"/>
      <w:sz w:val="22"/>
      <w:szCs w:val="20"/>
      <w:lang w:eastAsia="ru-RU"/>
    </w:rPr>
  </w:style>
  <w:style w:type="paragraph" w:styleId="646" w:customStyle="1">
    <w:name w:val="ConsPlusNonformat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47" w:customStyle="1">
    <w:name w:val="ConsPlusTitle"/>
    <w:pPr>
      <w:jc w:val="left"/>
      <w:widowControl w:val="off"/>
    </w:pPr>
    <w:rPr>
      <w:rFonts w:ascii="Calibri" w:hAnsi="Calibri" w:eastAsia="Times New Roman" w:cs="Calibri"/>
      <w:b/>
      <w:sz w:val="22"/>
      <w:szCs w:val="20"/>
      <w:lang w:eastAsia="ru-RU"/>
    </w:rPr>
  </w:style>
  <w:style w:type="paragraph" w:styleId="648" w:customStyle="1">
    <w:name w:val="ConsPlusCell"/>
    <w:uiPriority w:val="99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49" w:customStyle="1">
    <w:name w:val="ConsPlusDocList"/>
    <w:uiPriority w:val="99"/>
    <w:pPr>
      <w:jc w:val="left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50" w:customStyle="1">
    <w:name w:val="ConsPlusTitlePage"/>
    <w:uiPriority w:val="99"/>
    <w:pPr>
      <w:jc w:val="left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651" w:customStyle="1">
    <w:name w:val="ConsPlusJurTerm"/>
    <w:uiPriority w:val="99"/>
    <w:pPr>
      <w:jc w:val="left"/>
      <w:widowControl w:val="off"/>
    </w:pPr>
    <w:rPr>
      <w:rFonts w:ascii="Tahoma" w:hAnsi="Tahoma" w:eastAsia="Times New Roman" w:cs="Tahoma"/>
      <w:sz w:val="26"/>
      <w:szCs w:val="20"/>
      <w:lang w:eastAsia="ru-RU"/>
    </w:rPr>
  </w:style>
  <w:style w:type="paragraph" w:styleId="652">
    <w:name w:val="Header"/>
    <w:basedOn w:val="638"/>
    <w:link w:val="653"/>
    <w:uiPriority w:val="99"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  <w:lang w:eastAsia="en-US"/>
    </w:rPr>
  </w:style>
  <w:style w:type="character" w:styleId="653" w:customStyle="1">
    <w:name w:val="Верхний колонтитул Знак"/>
    <w:basedOn w:val="639"/>
    <w:link w:val="652"/>
    <w:uiPriority w:val="99"/>
    <w:rPr>
      <w:rFonts w:ascii="Calibri" w:hAnsi="Calibri" w:eastAsia="Calibri"/>
      <w:sz w:val="22"/>
      <w:szCs w:val="22"/>
    </w:rPr>
  </w:style>
  <w:style w:type="paragraph" w:styleId="654">
    <w:name w:val="Footer"/>
    <w:basedOn w:val="638"/>
    <w:link w:val="655"/>
    <w:uiPriority w:val="99"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  <w:lang w:eastAsia="en-US"/>
    </w:rPr>
  </w:style>
  <w:style w:type="character" w:styleId="655" w:customStyle="1">
    <w:name w:val="Нижний колонтитул Знак"/>
    <w:basedOn w:val="639"/>
    <w:link w:val="654"/>
    <w:uiPriority w:val="99"/>
    <w:rPr>
      <w:rFonts w:ascii="Calibri" w:hAnsi="Calibri" w:eastAsia="Calibri"/>
      <w:sz w:val="22"/>
      <w:szCs w:val="22"/>
    </w:rPr>
  </w:style>
  <w:style w:type="paragraph" w:styleId="656">
    <w:name w:val="Balloon Text"/>
    <w:basedOn w:val="638"/>
    <w:link w:val="657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657" w:customStyle="1">
    <w:name w:val="Текст выноски Знак"/>
    <w:basedOn w:val="639"/>
    <w:link w:val="656"/>
    <w:uiPriority w:val="99"/>
    <w:semiHidden/>
    <w:rPr>
      <w:rFonts w:ascii="Tahoma" w:hAnsi="Tahoma" w:eastAsia="Calibri" w:cs="Tahoma"/>
      <w:sz w:val="16"/>
      <w:szCs w:val="16"/>
    </w:rPr>
  </w:style>
  <w:style w:type="paragraph" w:styleId="658">
    <w:name w:val="Body Text"/>
    <w:basedOn w:val="638"/>
    <w:link w:val="659"/>
    <w:uiPriority w:val="99"/>
    <w:rPr>
      <w:sz w:val="28"/>
    </w:rPr>
  </w:style>
  <w:style w:type="character" w:styleId="659" w:customStyle="1">
    <w:name w:val="Основной текст Знак"/>
    <w:basedOn w:val="639"/>
    <w:link w:val="658"/>
    <w:uiPriority w:val="99"/>
    <w:rPr>
      <w:rFonts w:eastAsia="Calibri"/>
      <w:sz w:val="28"/>
      <w:szCs w:val="20"/>
      <w:lang w:eastAsia="ru-RU"/>
    </w:rPr>
  </w:style>
  <w:style w:type="character" w:styleId="660">
    <w:name w:val="annotation reference"/>
    <w:basedOn w:val="639"/>
    <w:uiPriority w:val="99"/>
    <w:semiHidden/>
    <w:unhideWhenUsed/>
    <w:rPr>
      <w:sz w:val="16"/>
      <w:szCs w:val="16"/>
    </w:rPr>
  </w:style>
  <w:style w:type="paragraph" w:styleId="661">
    <w:name w:val="annotation text"/>
    <w:basedOn w:val="638"/>
    <w:link w:val="662"/>
    <w:uiPriority w:val="99"/>
    <w:semiHidden/>
    <w:unhideWhenUsed/>
    <w:rPr>
      <w:rFonts w:ascii="Calibri" w:hAnsi="Calibri"/>
      <w:lang w:eastAsia="en-US"/>
    </w:rPr>
  </w:style>
  <w:style w:type="character" w:styleId="662" w:customStyle="1">
    <w:name w:val="Текст примечания Знак"/>
    <w:basedOn w:val="639"/>
    <w:link w:val="661"/>
    <w:uiPriority w:val="99"/>
    <w:semiHidden/>
    <w:rPr>
      <w:rFonts w:ascii="Calibri" w:hAnsi="Calibri" w:eastAsia="Calibri"/>
      <w:sz w:val="20"/>
      <w:szCs w:val="20"/>
    </w:rPr>
  </w:style>
  <w:style w:type="paragraph" w:styleId="663">
    <w:name w:val="annotation subject"/>
    <w:basedOn w:val="661"/>
    <w:next w:val="661"/>
    <w:link w:val="664"/>
    <w:uiPriority w:val="99"/>
    <w:semiHidden/>
    <w:unhideWhenUsed/>
    <w:rPr>
      <w:b/>
      <w:bCs/>
    </w:rPr>
  </w:style>
  <w:style w:type="character" w:styleId="664" w:customStyle="1">
    <w:name w:val="Тема примечания Знак"/>
    <w:basedOn w:val="662"/>
    <w:link w:val="663"/>
    <w:uiPriority w:val="99"/>
    <w:semiHidden/>
    <w:rPr>
      <w:rFonts w:ascii="Calibri" w:hAnsi="Calibri" w:eastAsia="Calibri"/>
      <w:b/>
      <w:bCs/>
      <w:sz w:val="20"/>
      <w:szCs w:val="20"/>
    </w:rPr>
  </w:style>
  <w:style w:type="character" w:styleId="665">
    <w:name w:val="FollowedHyperlink"/>
    <w:basedOn w:val="639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</cp:revision>
  <dcterms:created xsi:type="dcterms:W3CDTF">2024-03-12T06:56:00Z</dcterms:created>
  <dcterms:modified xsi:type="dcterms:W3CDTF">2024-03-12T10:55:48Z</dcterms:modified>
</cp:coreProperties>
</file>