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5"/>
        <w:jc w:val="center"/>
      </w:pPr>
      <w:r>
        <w:t xml:space="preserve"> </w:t>
      </w: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10"/>
        <w:rPr>
          <w:sz w:val="28"/>
          <w:szCs w:val="28"/>
        </w:rPr>
      </w:pP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</w:r>
      <w:r/>
    </w:p>
    <w:p>
      <w:pPr>
        <w:pStyle w:val="6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</w:t>
      </w:r>
      <w:r/>
    </w:p>
    <w:p>
      <w:pPr>
        <w:pStyle w:val="6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/>
    </w:p>
    <w:p>
      <w:pPr>
        <w:pStyle w:val="60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 Вейделевка </w:t>
      </w:r>
      <w:r>
        <w:rPr>
          <w:bCs/>
          <w:sz w:val="28"/>
          <w:szCs w:val="28"/>
        </w:rPr>
      </w:r>
      <w:r/>
    </w:p>
    <w:p>
      <w:pPr>
        <w:pStyle w:val="605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05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0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«22</w:t>
      </w:r>
      <w:r>
        <w:rPr>
          <w:bCs/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 марта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2024</w:t>
      </w:r>
      <w:r>
        <w:rPr>
          <w:bCs/>
          <w:sz w:val="28"/>
          <w:szCs w:val="28"/>
        </w:rPr>
        <w:t xml:space="preserve"> г.                     </w:t>
      </w: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№97</w:t>
      </w:r>
      <w:r/>
    </w:p>
    <w:p>
      <w:pPr>
        <w:pStyle w:val="605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05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05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05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>
        <w:rPr>
          <w:b/>
          <w:bCs/>
          <w:sz w:val="28"/>
          <w:szCs w:val="28"/>
        </w:rPr>
      </w:r>
      <w:r/>
    </w:p>
    <w:p>
      <w:pPr>
        <w:pStyle w:val="605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Вейделевского района </w:t>
      </w:r>
      <w:r>
        <w:rPr>
          <w:b/>
          <w:bCs/>
          <w:sz w:val="28"/>
          <w:szCs w:val="28"/>
        </w:rPr>
      </w:r>
      <w:r/>
    </w:p>
    <w:p>
      <w:pPr>
        <w:pStyle w:val="605"/>
        <w:ind w:right="1700"/>
        <w:tabs>
          <w:tab w:val="left" w:pos="5040" w:leader="none"/>
          <w:tab w:val="left" w:pos="5245" w:leader="none"/>
          <w:tab w:val="left" w:pos="680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04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сентября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2023</w:t>
      </w:r>
      <w:r>
        <w:rPr>
          <w:b/>
          <w:bCs/>
          <w:sz w:val="28"/>
          <w:szCs w:val="28"/>
        </w:rPr>
        <w:t xml:space="preserve"> года №</w:t>
      </w:r>
      <w:r>
        <w:rPr>
          <w:b/>
          <w:bCs/>
          <w:sz w:val="28"/>
          <w:szCs w:val="28"/>
        </w:rPr>
        <w:t xml:space="preserve">273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pStyle w:val="605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05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05"/>
        <w:ind w:right="5035"/>
        <w:tabs>
          <w:tab w:val="left" w:pos="5040" w:leader="none"/>
          <w:tab w:val="left" w:pos="52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0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Земельным Кодексом Российской Федерации, постановлением Правительства Российской Федерации 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3 декабря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2014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1300 «</w:t>
      </w:r>
      <w:r>
        <w:rPr>
          <w:sz w:val="28"/>
          <w:szCs w:val="28"/>
        </w:rPr>
        <w:t xml:space="preserve"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</w:t>
      </w:r>
      <w:r>
        <w:rPr>
          <w:sz w:val="28"/>
          <w:szCs w:val="28"/>
        </w:rPr>
        <w:t xml:space="preserve">овлением</w:t>
      </w:r>
      <w:r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2023 года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664-пп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2015 года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408-пп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приведения нормативных правовых актов органов местного самоуправления в соответствие с действующим законодательством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605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изменения в постановление админис</w:t>
      </w:r>
      <w:r>
        <w:rPr>
          <w:sz w:val="28"/>
          <w:szCs w:val="28"/>
        </w:rPr>
        <w:t xml:space="preserve">трации Вейделевского района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 сентября </w:t>
      </w:r>
      <w:r>
        <w:rPr>
          <w:sz w:val="28"/>
          <w:szCs w:val="28"/>
        </w:rPr>
        <w:t xml:space="preserve">2023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273</w:t>
      </w:r>
      <w:r>
        <w:rPr>
          <w:sz w:val="28"/>
          <w:szCs w:val="28"/>
        </w:rPr>
        <w:t xml:space="preserve"> «Об утверждении адми</w:t>
      </w:r>
      <w:r>
        <w:rPr>
          <w:sz w:val="28"/>
          <w:szCs w:val="28"/>
        </w:rPr>
        <w:t xml:space="preserve">нистративного регламента предоставления</w:t>
      </w:r>
      <w:r>
        <w:rPr>
          <w:sz w:val="28"/>
          <w:szCs w:val="28"/>
        </w:rPr>
        <w:t xml:space="preserve"> муниципальной услуги «</w:t>
      </w:r>
      <w:r>
        <w:rPr>
          <w:sz w:val="28"/>
          <w:szCs w:val="28"/>
        </w:rPr>
        <w:t xml:space="preserve">Выдача разрешения на использование земель или земельных участков (размещение объектов на землях или земельных участков (размещение объектов на землях или земельных участках)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/>
    </w:p>
    <w:p>
      <w:pPr>
        <w:pStyle w:val="605"/>
        <w:numPr>
          <w:ilvl w:val="1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2.4.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Выдача разрешения на использование земель или земельных участков (размещение объектов на землях или земельных участков (размещение объектов на землях или земельных участках)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утвержденного </w:t>
      </w:r>
      <w:r>
        <w:rPr>
          <w:sz w:val="28"/>
          <w:szCs w:val="28"/>
        </w:rPr>
        <w:t xml:space="preserve">постановлением администрации Вейделевского района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№273 от 04 сентября 2023 года </w:t>
      </w:r>
      <w:r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новой</w:t>
      </w:r>
      <w:r>
        <w:rPr>
          <w:sz w:val="28"/>
          <w:szCs w:val="28"/>
        </w:rPr>
        <w:t xml:space="preserve"> редакции:</w:t>
      </w:r>
      <w:r/>
    </w:p>
    <w:p>
      <w:pPr>
        <w:pStyle w:val="60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«2.4.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рок предоставления муниципальной услуги</w:t>
      </w:r>
      <w:r>
        <w:rPr>
          <w:sz w:val="28"/>
          <w:szCs w:val="28"/>
        </w:rPr>
        <w:t xml:space="preserve">, в том числе посредством ЕПГУ или МФЦ, для всех вариантов предоставлении Услуги</w:t>
      </w:r>
      <w:r>
        <w:rPr>
          <w:sz w:val="28"/>
          <w:szCs w:val="28"/>
        </w:rPr>
        <w:t xml:space="preserve"> составляет не более чем 7 (семь)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со дня </w:t>
      </w:r>
      <w:r>
        <w:rPr>
          <w:sz w:val="28"/>
          <w:szCs w:val="28"/>
        </w:rPr>
        <w:t xml:space="preserve">получения заявления о предоставлении Услуги.».</w:t>
      </w:r>
      <w:r>
        <w:rPr>
          <w:sz w:val="28"/>
          <w:szCs w:val="28"/>
        </w:rPr>
      </w:r>
      <w:r/>
    </w:p>
    <w:p>
      <w:pPr>
        <w:pStyle w:val="605"/>
        <w:numPr>
          <w:ilvl w:val="0"/>
          <w:numId w:val="3"/>
        </w:numPr>
        <w:ind w:left="142" w:firstLine="566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Заместителю начальника управления 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района – начальнику организационно-контрольного отдела </w:t>
      </w:r>
      <w:r>
        <w:rPr>
          <w:rFonts w:eastAsia="Calibri"/>
          <w:sz w:val="28"/>
          <w:szCs w:val="28"/>
          <w:lang w:eastAsia="en-US"/>
        </w:rPr>
        <w:t xml:space="preserve">управления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по организационно-контрольной и </w:t>
      </w:r>
      <w:r>
        <w:rPr>
          <w:sz w:val="28"/>
          <w:szCs w:val="28"/>
        </w:rPr>
        <w:t xml:space="preserve">кадровой </w:t>
      </w:r>
      <w:r>
        <w:rPr>
          <w:rFonts w:eastAsia="Calibri"/>
          <w:sz w:val="28"/>
          <w:szCs w:val="28"/>
          <w:lang w:eastAsia="en-US"/>
        </w:rPr>
        <w:t xml:space="preserve">работе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 </w:t>
      </w:r>
      <w:r>
        <w:rPr>
          <w:rFonts w:eastAsia="Calibri"/>
          <w:sz w:val="28"/>
          <w:szCs w:val="28"/>
          <w:lang w:eastAsia="en-US"/>
        </w:rPr>
        <w:t xml:space="preserve">район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</w:t>
      </w:r>
      <w:r>
        <w:rPr>
          <w:rFonts w:eastAsia="Calibri"/>
          <w:sz w:val="28"/>
          <w:szCs w:val="28"/>
          <w:lang w:eastAsia="en-US"/>
        </w:rPr>
        <w:t xml:space="preserve"> бюллетень Вейделевского района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  <w:t xml:space="preserve"> </w:t>
      </w:r>
      <w:r/>
    </w:p>
    <w:p>
      <w:pPr>
        <w:pStyle w:val="605"/>
        <w:numPr>
          <w:ilvl w:val="0"/>
          <w:numId w:val="3"/>
        </w:numPr>
        <w:ind w:left="142" w:firstLine="566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</w:t>
      </w:r>
      <w:r>
        <w:rPr>
          <w:rFonts w:eastAsia="Calibri"/>
          <w:sz w:val="28"/>
          <w:szCs w:val="28"/>
          <w:lang w:eastAsia="en-US"/>
        </w:rPr>
        <w:t xml:space="preserve"> по связям с общественностью и СМИ администрации Вейделевского района – Авериной Н.В. обеспечить размещение настоящего постановления на официальном сайте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</w:t>
      </w:r>
      <w:r>
        <w:rPr>
          <w:rFonts w:eastAsia="Calibri"/>
          <w:sz w:val="28"/>
          <w:szCs w:val="28"/>
          <w:lang w:eastAsia="en-US"/>
        </w:rPr>
        <w:t xml:space="preserve">ого</w:t>
      </w:r>
      <w:r>
        <w:rPr>
          <w:rFonts w:eastAsia="Calibri"/>
          <w:sz w:val="28"/>
          <w:szCs w:val="28"/>
          <w:lang w:eastAsia="en-US"/>
        </w:rPr>
        <w:t xml:space="preserve"> район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 в информационно-телекоммуникационной сети «Интернет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</w:rPr>
        <w:t xml:space="preserve">.</w:t>
      </w:r>
      <w:r/>
    </w:p>
    <w:p>
      <w:pPr>
        <w:pStyle w:val="605"/>
        <w:numPr>
          <w:ilvl w:val="0"/>
          <w:numId w:val="3"/>
        </w:numPr>
        <w:ind w:left="0" w:firstLine="709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данного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     Г.Н. Масютенко</w:t>
      </w:r>
      <w:r>
        <w:rPr>
          <w:sz w:val="28"/>
          <w:szCs w:val="28"/>
        </w:rPr>
        <w:t xml:space="preserve">.</w:t>
      </w:r>
      <w:r/>
    </w:p>
    <w:p>
      <w:pPr>
        <w:pStyle w:val="605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  <w:tab/>
        <w:tab/>
        <w:tab/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А. 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704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497" w:hanging="93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05"/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5"/>
        <w:ind w:left="156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5"/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5"/>
        <w:ind w:left="221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5"/>
        <w:ind w:left="2712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5"/>
        <w:ind w:left="3213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5"/>
        <w:ind w:left="33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5"/>
        <w:ind w:left="3855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211" w:hanging="360"/>
        <w:tabs>
          <w:tab w:val="num" w:pos="1211" w:leader="none"/>
        </w:tabs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5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5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5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5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5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5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5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5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5"/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5"/>
    <w:next w:val="605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5"/>
    <w:next w:val="605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5"/>
    <w:next w:val="605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5"/>
    <w:next w:val="605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5"/>
    <w:next w:val="605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5"/>
    <w:next w:val="605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5"/>
    <w:next w:val="605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5"/>
    <w:next w:val="605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5"/>
    <w:next w:val="605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5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5"/>
    <w:next w:val="605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5"/>
    <w:next w:val="605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5"/>
    <w:next w:val="605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5"/>
    <w:next w:val="605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5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5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5"/>
    <w:next w:val="6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5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5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5"/>
    <w:next w:val="605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5"/>
    <w:next w:val="605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5"/>
    <w:next w:val="605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5"/>
    <w:next w:val="605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5"/>
    <w:next w:val="605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5"/>
    <w:next w:val="605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5"/>
    <w:next w:val="605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5"/>
    <w:next w:val="605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5"/>
    <w:next w:val="605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5"/>
    <w:next w:val="605"/>
    <w:uiPriority w:val="99"/>
    <w:unhideWhenUsed/>
    <w:pPr>
      <w:spacing w:after="0" w:afterAutospacing="0"/>
    </w:pPr>
  </w:style>
  <w:style w:type="paragraph" w:styleId="605" w:default="1">
    <w:name w:val="Normal"/>
    <w:next w:val="605"/>
    <w:link w:val="605"/>
    <w:qFormat/>
    <w:rPr>
      <w:lang w:val="ru-RU" w:eastAsia="ru-RU" w:bidi="ar-SA"/>
    </w:rPr>
  </w:style>
  <w:style w:type="character" w:styleId="606">
    <w:name w:val="Основной шрифт абзаца"/>
    <w:next w:val="606"/>
    <w:link w:val="605"/>
    <w:semiHidden/>
  </w:style>
  <w:style w:type="table" w:styleId="607">
    <w:name w:val="Обычная таблица"/>
    <w:next w:val="607"/>
    <w:link w:val="605"/>
    <w:semiHidden/>
    <w:tblPr/>
  </w:style>
  <w:style w:type="numbering" w:styleId="608">
    <w:name w:val="Нет списка"/>
    <w:next w:val="608"/>
    <w:link w:val="605"/>
    <w:semiHidden/>
  </w:style>
  <w:style w:type="paragraph" w:styleId="609">
    <w:name w:val="Основной текст"/>
    <w:basedOn w:val="605"/>
    <w:next w:val="609"/>
    <w:link w:val="612"/>
    <w:pPr>
      <w:jc w:val="both"/>
    </w:pPr>
    <w:rPr>
      <w:sz w:val="28"/>
      <w:lang w:val="en-US"/>
    </w:rPr>
  </w:style>
  <w:style w:type="paragraph" w:styleId="610">
    <w:name w:val="Название объекта"/>
    <w:basedOn w:val="605"/>
    <w:next w:val="605"/>
    <w:link w:val="605"/>
    <w:qFormat/>
    <w:pPr>
      <w:jc w:val="center"/>
    </w:pPr>
    <w:rPr>
      <w:b/>
      <w:bCs/>
      <w:sz w:val="36"/>
    </w:rPr>
  </w:style>
  <w:style w:type="paragraph" w:styleId="611">
    <w:name w:val="Текст выноски"/>
    <w:basedOn w:val="605"/>
    <w:next w:val="611"/>
    <w:link w:val="605"/>
    <w:semiHidden/>
    <w:rPr>
      <w:rFonts w:ascii="Tahoma" w:hAnsi="Tahoma" w:cs="Tahoma"/>
      <w:sz w:val="16"/>
      <w:szCs w:val="16"/>
    </w:rPr>
  </w:style>
  <w:style w:type="character" w:styleId="612">
    <w:name w:val="Основной текст Знак"/>
    <w:next w:val="612"/>
    <w:link w:val="609"/>
    <w:rPr>
      <w:sz w:val="28"/>
      <w:lang w:val="en-US" w:eastAsia="ru-RU" w:bidi="ar-SA"/>
    </w:rPr>
  </w:style>
  <w:style w:type="character" w:styleId="613">
    <w:name w:val="Знак Знак1"/>
    <w:next w:val="613"/>
    <w:link w:val="605"/>
    <w:rPr>
      <w:sz w:val="28"/>
      <w:lang w:val="en-US" w:eastAsia="ru-RU" w:bidi="ar-SA"/>
    </w:rPr>
  </w:style>
  <w:style w:type="table" w:styleId="614">
    <w:name w:val="Сетка таблицы"/>
    <w:basedOn w:val="607"/>
    <w:next w:val="614"/>
    <w:link w:val="605"/>
    <w:tblPr/>
  </w:style>
  <w:style w:type="paragraph" w:styleId="615">
    <w:name w:val="ConsPlusNormal"/>
    <w:next w:val="615"/>
    <w:link w:val="60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13</cp:revision>
  <dcterms:created xsi:type="dcterms:W3CDTF">2024-02-14T08:55:00Z</dcterms:created>
  <dcterms:modified xsi:type="dcterms:W3CDTF">2024-03-25T12:07:40Z</dcterms:modified>
  <cp:version>983040</cp:version>
</cp:coreProperties>
</file>