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Cs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4.75pt;height:54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АДМИНИСТРАЦИИ ВЕЙДЕЛЕВСКОГО РАЙОНА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637"/>
        <w:ind w:firstLine="709"/>
        <w:spacing w:after="240" w:line="276" w:lineRule="auto"/>
        <w:widowControl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>
        <w:rPr>
          <w:b w:val="0"/>
          <w:sz w:val="28"/>
          <w:szCs w:val="28"/>
        </w:rPr>
        <w:t xml:space="preserve">п.Вейделевка</w:t>
      </w:r>
      <w:r>
        <w:rPr>
          <w:b w:val="0"/>
          <w:sz w:val="28"/>
          <w:szCs w:val="28"/>
        </w:rPr>
      </w:r>
    </w:p>
    <w:p>
      <w:pPr>
        <w:pStyle w:val="637"/>
        <w:ind w:firstLine="709"/>
        <w:spacing w:after="240" w:line="276" w:lineRule="auto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7"/>
        <w:spacing w:after="240" w:line="276" w:lineRule="auto"/>
        <w:widowControl/>
        <w:tabs>
          <w:tab w:val="left" w:pos="1035" w:leader="none"/>
          <w:tab w:val="center" w:pos="4677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 xml:space="preserve">21»</w:t>
      </w:r>
      <w:r>
        <w:rPr>
          <w:b w:val="0"/>
          <w:sz w:val="28"/>
          <w:szCs w:val="28"/>
        </w:rPr>
        <w:t xml:space="preserve"> марта 20</w:t>
      </w:r>
      <w:r>
        <w:rPr>
          <w:b w:val="0"/>
          <w:sz w:val="28"/>
          <w:szCs w:val="28"/>
        </w:rPr>
        <w:t xml:space="preserve">2</w:t>
      </w:r>
      <w:r>
        <w:rPr>
          <w:b w:val="0"/>
          <w:sz w:val="28"/>
          <w:szCs w:val="28"/>
        </w:rPr>
        <w:t xml:space="preserve">5 </w:t>
      </w:r>
      <w:r>
        <w:rPr>
          <w:b w:val="0"/>
          <w:sz w:val="28"/>
          <w:szCs w:val="28"/>
        </w:rPr>
        <w:t xml:space="preserve">г.                  </w:t>
      </w:r>
      <w:r>
        <w:rPr>
          <w:b w:val="0"/>
          <w:sz w:val="28"/>
          <w:szCs w:val="28"/>
        </w:rPr>
        <w:t xml:space="preserve">                                                                  </w:t>
      </w:r>
      <w:r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97</w:t>
      </w:r>
      <w:r>
        <w:rPr>
          <w:b w:val="0"/>
          <w:bCs w:val="0"/>
          <w:sz w:val="28"/>
          <w:szCs w:val="28"/>
          <w:highlight w:val="none"/>
        </w:rPr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637"/>
        <w:spacing w:after="240" w:line="276" w:lineRule="auto"/>
        <w:widowControl/>
        <w:tabs>
          <w:tab w:val="left" w:pos="1035" w:leader="none"/>
          <w:tab w:val="center" w:pos="4677" w:leader="none"/>
        </w:tabs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highlight w:val="none"/>
        </w:rPr>
      </w:r>
      <w:r>
        <w:rPr>
          <w:b w:val="0"/>
          <w:sz w:val="28"/>
          <w:szCs w:val="28"/>
          <w:highlight w:val="none"/>
        </w:rPr>
      </w:r>
    </w:p>
    <w:p>
      <w:pPr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tbl>
      <w:tblPr>
        <w:tblStyle w:val="63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62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изменений и дополнений в постановление администрации Вейделевского района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t xml:space="preserve">от 24 мая 2021 года № 100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Руководствуясь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 xml:space="preserve">06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2003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131-ФЗ «Об общих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принципах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Федерации», постановлением Правительства Белгородской 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 декабря 2024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№ 679-пп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«О</w:t>
      </w:r>
      <w:r>
        <w:rPr>
          <w:spacing w:val="1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реализации в Белгородской области Единого стандарта региональных мер поддержки участников специальной военной операции и членов их семей</w:t>
      </w:r>
      <w:r>
        <w:rPr>
          <w:sz w:val="28"/>
          <w:szCs w:val="28"/>
        </w:rPr>
        <w:t xml:space="preserve">»,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</w:t>
      </w:r>
      <w:r>
        <w:rPr>
          <w:sz w:val="28"/>
          <w:szCs w:val="28"/>
          <w:lang w:bidi="ru-RU"/>
        </w:rPr>
        <w:t xml:space="preserve">Вейделевского района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 целях реализации Единого стандарта региональных мер поддержки участников специальной военной операции и членов их семей, подготовленных рабочей группой «Центр оперативно</w:t>
      </w:r>
      <w:r>
        <w:rPr>
          <w:color w:val="000000"/>
          <w:sz w:val="28"/>
          <w:szCs w:val="28"/>
        </w:rPr>
        <w:t xml:space="preserve">го правового реагирования» в соответствии с пунктом 2.7 протокола заседания совета законодателей Центрального федерального округа Совета при полномочном представителе Президента Российской Федерации в Центральном федеральном округе от 4 июля 2024 года № 26</w:t>
      </w:r>
      <w:r>
        <w:rPr>
          <w:sz w:val="28"/>
          <w:szCs w:val="28"/>
        </w:rPr>
        <w:t xml:space="preserve">, </w:t>
      </w:r>
      <w:r>
        <w:rPr>
          <w:rFonts w:eastAsia="Times New Roman"/>
          <w:b/>
          <w:color w:val="000000"/>
          <w:sz w:val="28"/>
          <w:szCs w:val="28"/>
        </w:rPr>
        <w:t xml:space="preserve">п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о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с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т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а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н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о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в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л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я</w:t>
      </w:r>
      <w:r>
        <w:rPr>
          <w:rFonts w:eastAsia="Times New Roman"/>
          <w:b/>
          <w:color w:val="000000"/>
          <w:sz w:val="28"/>
          <w:szCs w:val="28"/>
        </w:rPr>
        <w:t xml:space="preserve"> ю</w:t>
      </w:r>
      <w:r>
        <w:rPr>
          <w:rFonts w:eastAsia="Times New Roman"/>
          <w:b/>
          <w:color w:val="000000"/>
          <w:sz w:val="28"/>
          <w:szCs w:val="28"/>
        </w:rPr>
        <w:t xml:space="preserve">:</w:t>
      </w:r>
      <w:r>
        <w:rPr>
          <w:bCs/>
          <w:color w:val="000000"/>
          <w:sz w:val="28"/>
          <w:szCs w:val="28"/>
        </w:rPr>
      </w:r>
    </w:p>
    <w:p>
      <w:pPr>
        <w:pStyle w:val="63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Вейделевского района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24 мая 2021 года № 100 «Об обеспечении отдыха, оздоровления и занятости детей Вейделевского района</w:t>
      </w:r>
      <w:r>
        <w:rPr>
          <w:sz w:val="28"/>
          <w:szCs w:val="28"/>
        </w:rPr>
        <w:t xml:space="preserve">» (далее – Постановление) </w:t>
      </w:r>
      <w:r>
        <w:rPr>
          <w:sz w:val="28"/>
          <w:szCs w:val="28"/>
        </w:rPr>
        <w:t xml:space="preserve">следующие изменения:</w:t>
      </w:r>
      <w:r>
        <w:rPr>
          <w:sz w:val="28"/>
          <w:szCs w:val="28"/>
        </w:rPr>
      </w:r>
    </w:p>
    <w:p>
      <w:pPr>
        <w:pStyle w:val="63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6 Постановления слова «Управлению культуры администрации Вейделевского района» заменить словами «Управлению культуры, спорта и молодежной политики администрации Вейделевского района».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9 Постановления изложить в новой редакции:</w:t>
      </w:r>
      <w:r>
        <w:rPr>
          <w:sz w:val="28"/>
          <w:szCs w:val="28"/>
        </w:rPr>
      </w:r>
    </w:p>
    <w:p>
      <w:pPr>
        <w:pStyle w:val="6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 Районной межведомственной комиссии по организации отдыха, оздоровления и занятости детей Вейделевского района:</w:t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 w:themeFill="background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обеспечить в приоритетном порядке отдых, оздоровление и занятость  детей участников специальной военной операции (</w:t>
      </w:r>
      <w:r>
        <w:rPr>
          <w:color w:val="000000"/>
          <w:sz w:val="28"/>
          <w:szCs w:val="28"/>
        </w:rPr>
        <w:t xml:space="preserve">в том числе в случае гибели </w:t>
      </w:r>
      <w:r>
        <w:rPr>
          <w:color w:val="000000"/>
          <w:sz w:val="28"/>
          <w:szCs w:val="28"/>
        </w:rPr>
        <w:t xml:space="preserve">(смерти) участников специальной военной операции</w:t>
      </w:r>
      <w:r>
        <w:rPr>
          <w:color w:val="000000"/>
          <w:sz w:val="28"/>
          <w:szCs w:val="28"/>
        </w:rPr>
        <w:t xml:space="preserve">)</w:t>
      </w:r>
      <w:r>
        <w:rPr>
          <w:sz w:val="28"/>
          <w:szCs w:val="28"/>
        </w:rPr>
        <w:t xml:space="preserve">; детей-сирот и детей, оставшихся  без попечения родителей,  детей-инвалидов, детей, имеющих недостатки в психическ</w:t>
      </w:r>
      <w:r>
        <w:rPr>
          <w:sz w:val="28"/>
          <w:szCs w:val="28"/>
        </w:rPr>
        <w:t xml:space="preserve">ом и (или) физическом развитии,  детей, проживающих в малоимущих семьях, детей безработных граждан и иных детей, находящихся в трудной жизненной ситуации; детей, добившихся особых успехов в учебе, творческой деятельности, спорте, волонтерской деятельности;</w:t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t xml:space="preserve"> </w:t>
      </w:r>
      <w:r>
        <w:rPr>
          <w:sz w:val="28"/>
          <w:szCs w:val="28"/>
        </w:rPr>
        <w:t xml:space="preserve">создавать рабочую группу для оперативного рассмотрения вопросов, связанных с отдыхом, оздоровлением и занятостью детей;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определять направления развития системы отдыха, оздоровления и занятости детей.».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 xml:space="preserve">1.3</w:t>
      </w:r>
      <w:r>
        <w:rPr>
          <w:spacing w:val="10"/>
          <w:sz w:val="28"/>
          <w:szCs w:val="28"/>
        </w:rPr>
        <w:t xml:space="preserve">.</w:t>
      </w:r>
      <w:r>
        <w:rPr>
          <w:sz w:val="28"/>
          <w:szCs w:val="28"/>
        </w:rPr>
        <w:t xml:space="preserve"> Дополнить Постановление пунктом 10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следующего содержания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«10. Утвердить порядок предоставления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военной операции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семей по</w:t>
      </w:r>
      <w:r>
        <w:rPr>
          <w:b/>
        </w:rPr>
        <w:t xml:space="preserve"> </w:t>
      </w:r>
      <w:r>
        <w:rPr>
          <w:sz w:val="28"/>
          <w:szCs w:val="28"/>
        </w:rPr>
        <w:t xml:space="preserve">предоставлению детям участников специальной военной операции льготных путевок в региональные </w:t>
      </w:r>
      <w:bookmarkStart w:id="0" w:name="_GoBack"/>
      <w:r/>
      <w:bookmarkEnd w:id="0"/>
      <w:r>
        <w:rPr>
          <w:sz w:val="28"/>
          <w:szCs w:val="28"/>
        </w:rPr>
        <w:t xml:space="preserve">организации отдыха детей и их оздоровления (приложение № 2).».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Постановление новым приложением 2 согласно приложению №1 настоящего постановления.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Соответственно пункты 10, 11 считать пунктами 11,12.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1 Постановления слова «</w:t>
      </w:r>
      <w:r>
        <w:rPr>
          <w:sz w:val="28"/>
          <w:szCs w:val="28"/>
        </w:rPr>
        <w:t xml:space="preserve">Тиховская</w:t>
      </w:r>
      <w:r>
        <w:rPr>
          <w:sz w:val="28"/>
          <w:szCs w:val="28"/>
        </w:rPr>
        <w:t xml:space="preserve"> Эрика Вячеславовна - начальник управления культуры администрации Вейделевского района» заменить на «</w:t>
      </w:r>
      <w:r>
        <w:rPr>
          <w:sz w:val="28"/>
          <w:szCs w:val="28"/>
        </w:rPr>
        <w:t xml:space="preserve">Тиховская</w:t>
      </w:r>
      <w:r>
        <w:rPr>
          <w:sz w:val="28"/>
          <w:szCs w:val="28"/>
        </w:rPr>
        <w:t xml:space="preserve"> Эрика Вячеславовна - начальник управления культуры, спорта и молодежной политики администрации Вейделевского района».</w:t>
      </w:r>
      <w:r>
        <w:rPr>
          <w:sz w:val="28"/>
          <w:szCs w:val="28"/>
        </w:rPr>
      </w:r>
    </w:p>
    <w:p>
      <w:pPr>
        <w:ind w:firstLine="709"/>
        <w:jc w:val="both"/>
        <w:rPr>
          <w:sz w:val="27"/>
          <w:szCs w:val="27"/>
        </w:rPr>
      </w:pP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 Заместителю начальника управления по организационно-контр</w:t>
      </w:r>
      <w:r>
        <w:rPr>
          <w:rFonts w:eastAsia="Times New Roman"/>
          <w:sz w:val="28"/>
          <w:szCs w:val="28"/>
        </w:rPr>
        <w:t xml:space="preserve">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работе администрации Вейделевского района Гончаренко О.Н. опубликовать настоящее постановление в</w:t>
      </w:r>
      <w:r>
        <w:rPr>
          <w:sz w:val="28"/>
          <w:szCs w:val="28"/>
        </w:rPr>
        <w:t xml:space="preserve">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sz w:val="27"/>
          <w:szCs w:val="27"/>
        </w:rPr>
      </w:r>
    </w:p>
    <w:p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7"/>
          <w:szCs w:val="27"/>
        </w:rPr>
        <w:t xml:space="preserve">3</w:t>
      </w:r>
      <w:r>
        <w:rPr>
          <w:sz w:val="27"/>
          <w:szCs w:val="27"/>
        </w:rPr>
        <w:t xml:space="preserve">. </w:t>
      </w:r>
      <w:r>
        <w:rPr>
          <w:rFonts w:eastAsia="Times New Roman"/>
          <w:sz w:val="28"/>
          <w:szCs w:val="28"/>
        </w:rPr>
        <w:t xml:space="preserve">Начальнику отдела делопроизводства, писем по связям с общественностью    и   СМИ       администрации       Вейделевского      района </w:t>
      </w:r>
      <w:r>
        <w:rPr>
          <w:rFonts w:eastAsia="Times New Roman"/>
          <w:sz w:val="28"/>
          <w:szCs w:val="28"/>
        </w:rPr>
      </w:r>
    </w:p>
    <w:p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Авериной</w:t>
      </w:r>
      <w:r>
        <w:rPr>
          <w:rFonts w:eastAsia="Times New Roman"/>
          <w:sz w:val="28"/>
          <w:szCs w:val="28"/>
        </w:rPr>
        <w:t xml:space="preserve"> Н.В. разместить настоящее постановление на официальном сайте администрации Вейделевского района в информационно-телекоммуникационной сети «Интернет».</w:t>
      </w:r>
      <w:r>
        <w:rPr>
          <w:rFonts w:eastAsia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</w:t>
      </w:r>
      <w:r>
        <w:rPr>
          <w:rFonts w:eastAsia="Times New Roman"/>
          <w:sz w:val="28"/>
          <w:szCs w:val="28"/>
        </w:rPr>
        <w:t xml:space="preserve">. Настоящее постановление вступает в силу со дня его официального опубликования.</w:t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</w:pP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  <w:r>
        <w:rPr>
          <w:sz w:val="28"/>
          <w:szCs w:val="28"/>
        </w:rPr>
      </w:r>
    </w:p>
    <w:p>
      <w:pPr>
        <w:jc w:val="both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</w:r>
      <w:r>
        <w:rPr>
          <w:rFonts w:eastAsia="Times New Roman"/>
          <w:b/>
          <w:color w:val="000000" w:themeColor="text1"/>
          <w:sz w:val="28"/>
          <w:szCs w:val="28"/>
        </w:rPr>
      </w:r>
    </w:p>
    <w:p>
      <w:pPr>
        <w:jc w:val="both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</w:r>
      <w:r>
        <w:rPr>
          <w:rFonts w:eastAsia="Times New Roman"/>
          <w:b/>
          <w:color w:val="000000" w:themeColor="text1"/>
          <w:sz w:val="28"/>
          <w:szCs w:val="28"/>
        </w:rPr>
      </w:r>
    </w:p>
    <w:p>
      <w:pPr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  Первый заместитель главы</w:t>
      </w:r>
      <w:r>
        <w:rPr>
          <w:rFonts w:eastAsia="Times New Roman"/>
          <w:b/>
          <w:color w:val="000000"/>
          <w:sz w:val="28"/>
          <w:szCs w:val="28"/>
        </w:rPr>
      </w:r>
    </w:p>
    <w:p>
      <w:pPr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администрации Вейделевского района                               </w:t>
      </w:r>
      <w:r>
        <w:rPr>
          <w:rFonts w:eastAsia="Times New Roman"/>
          <w:b/>
          <w:color w:val="000000"/>
          <w:sz w:val="28"/>
          <w:szCs w:val="28"/>
        </w:rPr>
        <w:t xml:space="preserve">В.Таранцов</w:t>
      </w:r>
      <w:r>
        <w:rPr>
          <w:rFonts w:eastAsia="Times New Roman"/>
          <w:b/>
          <w:color w:val="00000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</w:p>
    <w:tbl>
      <w:tblPr>
        <w:tblW w:w="5386" w:type="dxa"/>
        <w:tblInd w:w="4361" w:type="dxa"/>
        <w:tblLook w:val="04A0" w:firstRow="1" w:lastRow="0" w:firstColumn="1" w:lastColumn="0" w:noHBand="0" w:noVBand="1"/>
      </w:tblPr>
      <w:tblGrid>
        <w:gridCol w:w="5386"/>
      </w:tblGrid>
      <w:tr>
        <w:trPr/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1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постановлению администрации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«21» марта 2025г. №97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«21» марта 2025 г. № 97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«Приложение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постановлению администрации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«21» марта 2025 г. №97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«21» марта 2025 г. № 97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44"/>
        <w:ind w:right="-6"/>
        <w:spacing w:line="240" w:lineRule="auto"/>
        <w:shd w:val="clear" w:color="auto" w:fill="auto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left="3085" w:right="30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</w:t>
      </w:r>
      <w:r>
        <w:rPr>
          <w:b/>
          <w:sz w:val="28"/>
          <w:szCs w:val="28"/>
        </w:rPr>
      </w:r>
    </w:p>
    <w:p>
      <w:pPr>
        <w:ind w:right="2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меры поддержки участников специальной военной</w:t>
      </w:r>
      <w:r>
        <w:rPr>
          <w:b/>
          <w:spacing w:val="-67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операции и членов их семей по первоочередному праву предоставления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детям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участников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специальной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военной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операции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льготных путевок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организации отдыха детей и их оздоровления </w:t>
      </w:r>
      <w:r>
        <w:rPr>
          <w:b/>
          <w:sz w:val="28"/>
          <w:szCs w:val="28"/>
        </w:rPr>
      </w:r>
    </w:p>
    <w:p>
      <w:pPr>
        <w:ind w:right="2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ind w:right="2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8"/>
        <w:ind w:right="-144"/>
        <w:jc w:val="center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Общие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положения</w:t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ind w:right="-144"/>
        <w:jc w:val="left"/>
        <w:spacing w:before="8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3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1.1. Порядок предоставления меры поддержки участников специальной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семей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первоочередному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льготных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оздоровления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 (далее 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специальной военной операции льготных путевок в организации отдыха 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поддержки).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3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1.2. Под организациями отдыха детей на территории Белгородской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понимаются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загородные оздоровительные лагеря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r>
        <w:rPr>
          <w:bCs/>
          <w:sz w:val="28"/>
          <w:szCs w:val="28"/>
        </w:rPr>
        <w:t xml:space="preserve">Вейделевского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лагеря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дневным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пребыванием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детей).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3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1.3. Решение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льготных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специальной военной операции (далее – дети участников СВО) в загородные оздоровительные лагеря Белгородской области принимается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комиссией по организации отдыха и оздоровления </w:t>
      </w:r>
      <w:r>
        <w:rPr>
          <w:bCs/>
          <w:sz w:val="28"/>
          <w:szCs w:val="28"/>
        </w:rPr>
        <w:t xml:space="preserve">Вейделевского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3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льготных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специальной военной операции (далее – дети участников СВО) в лагеря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дневным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пребыванием принимается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соответствующими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детей.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3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1.4. Предоставление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льготных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рамках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взимания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платы.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3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1.5. Учет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детей.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1.6. 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</w:t>
      </w:r>
      <w:r>
        <w:rPr>
          <w:bCs/>
          <w:sz w:val="28"/>
          <w:szCs w:val="28"/>
        </w:rPr>
        <w:t xml:space="preserve">Вейделевского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и участвующие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области, и (или) выполня</w:t>
      </w:r>
      <w:r>
        <w:rPr>
          <w:sz w:val="28"/>
          <w:szCs w:val="28"/>
        </w:rPr>
        <w:t xml:space="preserve">ющие задачи  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</w:t>
      </w:r>
      <w:r>
        <w:rPr>
          <w:sz w:val="28"/>
          <w:szCs w:val="28"/>
        </w:rPr>
        <w:t xml:space="preserve">специальной военной операции </w:t>
      </w:r>
      <w:r>
        <w:rPr>
          <w:sz w:val="28"/>
          <w:szCs w:val="28"/>
        </w:rPr>
        <w:t xml:space="preserve">на территориях Украины, Донецкой Народной Республики, Луганской Народной Республики, Запорожской и</w:t>
      </w:r>
      <w:r>
        <w:rPr>
          <w:sz w:val="28"/>
          <w:szCs w:val="28"/>
        </w:rPr>
        <w:t xml:space="preserve"> Херсонской области из числа: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лиц, призванных на военную службу по мобилизации в Вооружённые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</w:t>
      </w:r>
      <w:r>
        <w:rPr>
          <w:sz w:val="28"/>
          <w:szCs w:val="28"/>
        </w:rPr>
        <w:t xml:space="preserve">ие специальных званий полиции, по мобилизации;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2) лиц, проходящих (проходивших) военную службу в Вооружённых Силах Российской Федерац</w:t>
      </w:r>
      <w:r>
        <w:rPr>
          <w:sz w:val="28"/>
          <w:szCs w:val="28"/>
        </w:rPr>
        <w:t xml:space="preserve">ии по контракту, или лиц, проходящих (проходивших) военную службу (службу) в войсках национальной гвардии Российской Федерации, в воинских формированиях, и органах, указанных в пункте 6 статьи 1 Федерального закона от 31 мая 1996 года № 61-ФЗ «Об обороне».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3) лиц, заключивших контракт о добровольном содействии в</w:t>
      </w:r>
      <w:r>
        <w:rPr>
          <w:sz w:val="28"/>
          <w:szCs w:val="28"/>
        </w:rPr>
        <w:t xml:space="preserve"> выполнении задач, возложенных на Вооружённые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</w:t>
      </w:r>
      <w:r>
        <w:rPr>
          <w:sz w:val="28"/>
          <w:szCs w:val="28"/>
        </w:rPr>
        <w:t xml:space="preserve">нные Силы Российской Федерации;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4) сотрудники федеральных органов исполнительной власти, служащие (работники) федеральных государственных органов (правоохранительных </w:t>
      </w:r>
      <w:r>
        <w:rPr>
          <w:sz w:val="28"/>
          <w:szCs w:val="28"/>
        </w:rPr>
        <w:t xml:space="preserve">органов Российской Федерации), иные лица, которые направлялись (привлекались) указанными органами при выполнении ими служебных обязанност</w:t>
      </w:r>
      <w:r>
        <w:rPr>
          <w:sz w:val="28"/>
          <w:szCs w:val="28"/>
        </w:rPr>
        <w:t xml:space="preserve">ей и иных аналогичных функций.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1.7. Мера поддержки предоставляется участникам специальной военной операции и членам их семей на период участия лиц, указанных в пункте 1.4. порядка, в специальной военной операции.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Мера поддержки членам семей лиц, указанных в пункте 1.4. порядка, погибших (умерших) при</w:t>
      </w:r>
      <w:r>
        <w:rPr>
          <w:sz w:val="28"/>
          <w:szCs w:val="28"/>
        </w:rPr>
        <w:t xml:space="preserve">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1.8. Члены семей </w:t>
      </w:r>
      <w:r>
        <w:rPr>
          <w:sz w:val="28"/>
          <w:szCs w:val="28"/>
        </w:rPr>
        <w:t xml:space="preserve">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заболевания, полученных при выполнении задач в ходе проведения спец</w:t>
      </w:r>
      <w:r>
        <w:rPr>
          <w:sz w:val="28"/>
          <w:szCs w:val="28"/>
        </w:rPr>
        <w:t xml:space="preserve">иальной военной операции (круг лиц может быть расширен – без указания причины и (или) обстоятельствах их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супруга (супруг);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несовершеннолетние дети;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дети старше 18 лет, ставшие инвалидами до достижения ими возраста 18 лет;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дети в возрасте до 23 лет, обучающиеся в образовательных организациях по очной форме обучения;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лица, находящиеся на иждивении участника специальной военной операции.</w:t>
      </w:r>
      <w:r>
        <w:rPr>
          <w:sz w:val="28"/>
          <w:szCs w:val="28"/>
        </w:rPr>
      </w:r>
    </w:p>
    <w:p>
      <w:pPr>
        <w:pStyle w:val="642"/>
        <w:ind w:right="-144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 категории дети участнико</w:t>
      </w:r>
      <w:r>
        <w:rPr>
          <w:sz w:val="28"/>
          <w:szCs w:val="28"/>
        </w:rPr>
        <w:t xml:space="preserve">в специальной военной операции </w:t>
      </w:r>
      <w:r>
        <w:rPr>
          <w:sz w:val="28"/>
          <w:szCs w:val="28"/>
        </w:rPr>
        <w:t xml:space="preserve">не относятся дети, находящиеся </w:t>
      </w:r>
      <w:r>
        <w:rPr>
          <w:sz w:val="28"/>
          <w:szCs w:val="28"/>
        </w:rPr>
        <w:t xml:space="preserve">на полном государственной обеспечении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дети, в отношении которых родители лишены родительских прав или ограничены в родительских правах.</w:t>
      </w:r>
      <w:r>
        <w:rPr>
          <w:sz w:val="28"/>
          <w:szCs w:val="28"/>
        </w:rPr>
      </w:r>
    </w:p>
    <w:p>
      <w:pPr>
        <w:pStyle w:val="628"/>
        <w:ind w:right="-144"/>
        <w:jc w:val="center"/>
        <w:spacing w:before="1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28"/>
        <w:ind w:right="-144"/>
        <w:jc w:val="center"/>
        <w:spacing w:befor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предоставления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поддержки</w:t>
      </w:r>
      <w:r>
        <w:rPr>
          <w:rFonts w:ascii="Times New Roman" w:hAnsi="Times New Roman"/>
          <w:sz w:val="28"/>
          <w:szCs w:val="28"/>
        </w:rPr>
      </w:r>
    </w:p>
    <w:p>
      <w:pPr>
        <w:pStyle w:val="639"/>
        <w:ind w:right="-144"/>
        <w:jc w:val="left"/>
        <w:spacing w:before="5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4"/>
        <w:numPr>
          <w:ilvl w:val="1"/>
          <w:numId w:val="3"/>
        </w:numPr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Путевки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оздоровления</w:t>
      </w:r>
      <w:r>
        <w:rPr>
          <w:spacing w:val="1"/>
          <w:sz w:val="28"/>
          <w:szCs w:val="28"/>
        </w:rPr>
        <w:t xml:space="preserve"> для детей участников СВО, проживающих на территории </w:t>
      </w:r>
      <w:r>
        <w:rPr>
          <w:bCs/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предоставляются: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в загородные оздоровительные лагеря, расположенные на территории Белгородской области, обучающимся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организаций </w:t>
      </w:r>
      <w:r>
        <w:rPr>
          <w:bCs/>
          <w:sz w:val="28"/>
          <w:szCs w:val="28"/>
        </w:rPr>
        <w:t xml:space="preserve">Вейделевского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возрасте</w:t>
      </w:r>
      <w:r>
        <w:rPr>
          <w:spacing w:val="-3"/>
          <w:sz w:val="28"/>
          <w:szCs w:val="28"/>
        </w:rPr>
        <w:t xml:space="preserve"> от 7 </w:t>
      </w:r>
      <w:r>
        <w:rPr>
          <w:sz w:val="28"/>
          <w:szCs w:val="28"/>
        </w:rPr>
        <w:t xml:space="preserve">до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18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лет;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в общеобразовательные организации </w:t>
      </w:r>
      <w:r>
        <w:rPr>
          <w:bCs/>
          <w:sz w:val="28"/>
          <w:szCs w:val="28"/>
        </w:rPr>
        <w:t xml:space="preserve">Вейделевского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лагеря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дневным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пребыванием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учреждения),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возрасте от 7 до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18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лет.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2.2. Для получения меры поддержки родитель (законный представитель)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комиссию по организации отдыха и оздоровления </w:t>
      </w:r>
      <w:r>
        <w:rPr>
          <w:bCs/>
          <w:sz w:val="28"/>
          <w:szCs w:val="28"/>
        </w:rPr>
        <w:t xml:space="preserve">Вейделевского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(на получение путевки </w:t>
      </w:r>
      <w:r>
        <w:rPr>
          <w:sz w:val="28"/>
          <w:szCs w:val="28"/>
        </w:rPr>
        <w:t xml:space="preserve">в загородный оздоровительный лагерь) 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учреждение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</w:rPr>
        <w:t xml:space="preserve">для получение</w:t>
      </w:r>
      <w:r>
        <w:rPr>
          <w:spacing w:val="2"/>
          <w:sz w:val="28"/>
          <w:szCs w:val="28"/>
        </w:rPr>
        <w:t xml:space="preserve"> путевки в пришкольный оздоровительный лагерь) </w:t>
      </w:r>
      <w:r>
        <w:rPr>
          <w:sz w:val="28"/>
          <w:szCs w:val="28"/>
        </w:rPr>
        <w:t xml:space="preserve">следующие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документы: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заявление о предоставлении льготной путевки ребенку участника СВО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– заявление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 меры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копию паспорта или иного документа, удостоверяющего личность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родителя</w:t>
      </w:r>
      <w:r>
        <w:rPr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законного представителя);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3) копию свидетельства о заключении брака (для супруги (супруга) участника специальной военной операции);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4) копию документа, удостоверяющего полномочия (доверенность) (для представителя участника специальной военной операции);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5) документ, подтверждающий участие в специальной военной операции, к которым относятся: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</w:t>
      </w:r>
      <w:r>
        <w:rPr>
          <w:sz w:val="28"/>
          <w:szCs w:val="28"/>
        </w:rPr>
        <w:t xml:space="preserve">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</w:t>
      </w:r>
      <w:r>
        <w:rPr>
          <w:sz w:val="28"/>
          <w:szCs w:val="28"/>
        </w:rPr>
        <w:t xml:space="preserve">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выписка из приказа военного комиссариата о призыве на военную службу по мобилизации в Вооруженные Силы Российской Федерации;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уведомление федерально</w:t>
      </w:r>
      <w:r>
        <w:rPr>
          <w:sz w:val="28"/>
          <w:szCs w:val="28"/>
        </w:rPr>
        <w:t xml:space="preserve">го органа исполнительной власти</w:t>
      </w:r>
      <w:r>
        <w:rPr>
          <w:sz w:val="28"/>
          <w:szCs w:val="28"/>
        </w:rPr>
        <w:t xml:space="preserve"> о заключении с лицом контрак</w:t>
      </w:r>
      <w:r>
        <w:rPr>
          <w:sz w:val="28"/>
          <w:szCs w:val="28"/>
        </w:rPr>
        <w:t xml:space="preserve">та о прохождении военной службы</w:t>
      </w:r>
      <w:r>
        <w:rPr>
          <w:sz w:val="28"/>
          <w:szCs w:val="28"/>
        </w:rPr>
        <w:t xml:space="preserve"> в соответствии с пунктом 7 статьи 38 Федерального закона от 28 марта 1998 года № 53-ФЗ «О воинской обязанности и военной службе»;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копия (оригинал) контракта о добровольном содействии в выполнении задач, возложенных на Вооруженные Силы Российской Федерации;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запись в военном билете;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копия контракта о прохождении военной службы</w:t>
      </w:r>
      <w:r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в Вооруженных Силах Российской Федерации, подтверждающего даты или периоды участия гражданина в специальной военной операции;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медицинские справки и выписки из истории болезни, подтверждающие даты и периоды участия гражданина в специальной военной операции (выполнение боевых задач);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6) документ регистрационного учета по месту жительства или по месту </w:t>
      </w:r>
      <w:r>
        <w:rPr>
          <w:sz w:val="28"/>
          <w:szCs w:val="28"/>
        </w:rPr>
        <w:t xml:space="preserve">пребывания, подтверждающий факт проживания на территории </w:t>
      </w:r>
      <w:r>
        <w:rPr>
          <w:bCs/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7) оригинал и копию документа о рождении ребенка участника СВО (в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рождении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компетентными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иностранного государства также предоставляется его перевод на русский язык,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нотариально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заверенный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оригинал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и копию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паспорта ребенка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старше 14 лет;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8) оригинал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свидетельства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(СНИЛС)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9) оригинал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свидетельства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(СНИЛС)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(законного представителя);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10) решение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суда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усыновлении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(удочерении)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установлении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родственных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отношений;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11) медицинская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справка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отъезжающего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загородный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оздоровительный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лагерь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(форма 079/у);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12) справка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о составе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семьи;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widowControl w:val="off"/>
        <w:tabs>
          <w:tab w:val="left" w:pos="158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13) согласие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обработку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персональных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данных.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3"/>
        </w:numPr>
        <w:contextualSpacing w:val="0"/>
        <w:ind w:left="0" w:right="-144" w:firstLine="709"/>
        <w:jc w:val="both"/>
        <w:widowControl w:val="off"/>
        <w:tabs>
          <w:tab w:val="left" w:pos="15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Родители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(законные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информировать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возникновении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обстоятельств,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влекущих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прекращение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льготных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путевок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течение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5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(пяти) рабочих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момента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возникновения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обстоятельств.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3"/>
        </w:numPr>
        <w:contextualSpacing w:val="0"/>
        <w:ind w:left="0" w:right="-144" w:firstLine="709"/>
        <w:jc w:val="both"/>
        <w:widowControl w:val="off"/>
        <w:tabs>
          <w:tab w:val="left" w:pos="134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случае утраты родителями (законными представителями) ребенка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участника СВО оснований для предоставления меры поддержки организациями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 детей, соответствующей организацией отдыха детей издается приказ 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поддержки.</w:t>
      </w:r>
      <w:r>
        <w:rPr>
          <w:sz w:val="28"/>
          <w:szCs w:val="28"/>
        </w:rPr>
      </w:r>
    </w:p>
    <w:p>
      <w:pPr>
        <w:pStyle w:val="634"/>
        <w:numPr>
          <w:ilvl w:val="1"/>
          <w:numId w:val="3"/>
        </w:numPr>
        <w:contextualSpacing w:val="0"/>
        <w:ind w:left="0" w:right="-144" w:firstLine="709"/>
        <w:jc w:val="both"/>
        <w:spacing w:before="1"/>
        <w:widowControl w:val="off"/>
        <w:tabs>
          <w:tab w:val="left" w:pos="148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 детей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является: 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widowControl w:val="off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представление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заявителем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недостоверных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сведений;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widowControl w:val="off"/>
        <w:tabs>
          <w:tab w:val="left" w:pos="15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представление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непредставление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пункте 2.2. Порядка;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widowControl w:val="off"/>
        <w:tabs>
          <w:tab w:val="left" w:pos="15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отсутствие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статуса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пункте 1.6. Порядка;</w:t>
      </w:r>
      <w:r>
        <w:rPr>
          <w:sz w:val="28"/>
          <w:szCs w:val="28"/>
        </w:rPr>
      </w:r>
    </w:p>
    <w:p>
      <w:pPr>
        <w:pStyle w:val="634"/>
        <w:contextualSpacing w:val="0"/>
        <w:ind w:left="0" w:right="-144" w:firstLine="709"/>
        <w:jc w:val="both"/>
        <w:spacing w:before="1"/>
        <w:widowControl w:val="off"/>
        <w:tabs>
          <w:tab w:val="left" w:pos="148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достижение детьми участников СВО предельного возраста, указанного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пункте 1.4.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Порядка.</w:t>
      </w:r>
      <w:r>
        <w:rPr>
          <w:sz w:val="28"/>
          <w:szCs w:val="28"/>
        </w:rPr>
      </w:r>
    </w:p>
    <w:p>
      <w:pPr>
        <w:pStyle w:val="628"/>
        <w:ind w:right="-144"/>
        <w:jc w:val="center"/>
        <w:spacing w:before="2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Финансирование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поддержки</w:t>
      </w:r>
      <w:r>
        <w:rPr>
          <w:rFonts w:ascii="Times New Roman" w:hAnsi="Times New Roman"/>
          <w:sz w:val="28"/>
          <w:szCs w:val="28"/>
        </w:rPr>
      </w:r>
    </w:p>
    <w:p>
      <w:pPr>
        <w:ind w:right="-144"/>
      </w:pPr>
      <w:r/>
      <w:r/>
    </w:p>
    <w:p>
      <w:pPr>
        <w:pStyle w:val="634"/>
        <w:numPr>
          <w:ilvl w:val="1"/>
          <w:numId w:val="4"/>
        </w:numPr>
        <w:ind w:left="0" w:right="-144" w:firstLine="709"/>
        <w:jc w:val="both"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счет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</w:t>
      </w:r>
      <w:r>
        <w:rPr>
          <w:spacing w:val="-3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района.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</w:p>
    <w:p>
      <w:pPr>
        <w:ind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</w:t>
      </w:r>
      <w:r>
        <w:rPr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02" w:hanging="644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2" w:hanging="64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2" w:hanging="759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23" w:hanging="75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98" w:hanging="75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73" w:hanging="75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47" w:hanging="75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22" w:hanging="75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97" w:hanging="759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9"/>
    <w:link w:val="62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7"/>
    <w:next w:val="6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7"/>
    <w:next w:val="6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7"/>
    <w:next w:val="6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7"/>
    <w:next w:val="6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9"/>
    <w:link w:val="34"/>
    <w:uiPriority w:val="10"/>
    <w:rPr>
      <w:sz w:val="48"/>
      <w:szCs w:val="48"/>
    </w:rPr>
  </w:style>
  <w:style w:type="paragraph" w:styleId="36">
    <w:name w:val="Subtitle"/>
    <w:basedOn w:val="627"/>
    <w:next w:val="6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9"/>
    <w:link w:val="36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628">
    <w:name w:val="Heading 1"/>
    <w:basedOn w:val="627"/>
    <w:next w:val="627"/>
    <w:link w:val="632"/>
    <w:uiPriority w:val="9"/>
    <w:qFormat/>
    <w:pPr>
      <w:keepNext/>
      <w:spacing w:before="240" w:after="60"/>
      <w:widowControl w:val="off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character" w:styleId="629" w:default="1">
    <w:name w:val="Default Paragraph Font"/>
    <w:uiPriority w:val="1"/>
    <w:semiHidden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character" w:styleId="632" w:customStyle="1">
    <w:name w:val="Заголовок 1 Знак"/>
    <w:basedOn w:val="629"/>
    <w:link w:val="628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table" w:styleId="633">
    <w:name w:val="Table Grid"/>
    <w:basedOn w:val="630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4">
    <w:name w:val="List Paragraph"/>
    <w:basedOn w:val="627"/>
    <w:link w:val="641"/>
    <w:uiPriority w:val="1"/>
    <w:qFormat/>
    <w:pPr>
      <w:contextualSpacing/>
      <w:ind w:left="720"/>
    </w:pPr>
  </w:style>
  <w:style w:type="paragraph" w:styleId="635">
    <w:name w:val="No Spacing"/>
    <w:link w:val="636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6" w:customStyle="1">
    <w:name w:val="Без интервала Знак"/>
    <w:link w:val="635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7" w:customStyle="1">
    <w:name w:val="ConsPlusTitle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638" w:customStyle="1">
    <w:name w:val="Основной текст Знак1"/>
    <w:link w:val="639"/>
    <w:uiPriority w:val="99"/>
    <w:rPr>
      <w:spacing w:val="3"/>
      <w:sz w:val="26"/>
      <w:szCs w:val="26"/>
      <w:shd w:val="clear" w:color="auto" w:fill="ffffff"/>
    </w:rPr>
  </w:style>
  <w:style w:type="paragraph" w:styleId="639">
    <w:name w:val="Body Text"/>
    <w:basedOn w:val="627"/>
    <w:link w:val="638"/>
    <w:uiPriority w:val="99"/>
    <w:pPr>
      <w:jc w:val="both"/>
      <w:spacing w:before="780" w:line="322" w:lineRule="exact"/>
      <w:shd w:val="clear" w:color="auto" w:fill="ffffff"/>
      <w:widowControl w:val="off"/>
    </w:pPr>
    <w:rPr>
      <w:rFonts w:asciiTheme="minorHAnsi" w:hAnsiTheme="minorHAnsi" w:eastAsiaTheme="minorHAnsi" w:cstheme="minorBidi"/>
      <w:spacing w:val="3"/>
      <w:sz w:val="26"/>
      <w:szCs w:val="26"/>
      <w:lang w:eastAsia="en-US"/>
    </w:rPr>
  </w:style>
  <w:style w:type="character" w:styleId="640" w:customStyle="1">
    <w:name w:val="Основной текст Знак"/>
    <w:basedOn w:val="629"/>
    <w:uiPriority w:val="99"/>
    <w:semiHidden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41" w:customStyle="1">
    <w:name w:val="Абзац списка Знак"/>
    <w:link w:val="634"/>
    <w:uiPriority w:val="1"/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642" w:customStyle="1">
    <w:name w:val="formattext"/>
    <w:basedOn w:val="62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643" w:customStyle="1">
    <w:name w:val="Основной текст (3)_"/>
    <w:link w:val="644"/>
    <w:rPr>
      <w:b/>
      <w:bCs/>
      <w:sz w:val="26"/>
      <w:szCs w:val="26"/>
      <w:shd w:val="clear" w:color="auto" w:fill="ffffff"/>
    </w:rPr>
  </w:style>
  <w:style w:type="paragraph" w:styleId="644" w:customStyle="1">
    <w:name w:val="Основной текст (3)1"/>
    <w:basedOn w:val="627"/>
    <w:link w:val="643"/>
    <w:pPr>
      <w:spacing w:after="1020" w:line="312" w:lineRule="exact"/>
      <w:shd w:val="clear" w:color="auto" w:fill="ffffff"/>
      <w:widowControl w:val="off"/>
    </w:pPr>
    <w:rPr>
      <w:rFonts w:asciiTheme="minorHAnsi" w:hAnsiTheme="minorHAnsi" w:eastAsia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</cp:revision>
  <dcterms:created xsi:type="dcterms:W3CDTF">2025-03-26T10:56:00Z</dcterms:created>
  <dcterms:modified xsi:type="dcterms:W3CDTF">2025-03-26T11:12:23Z</dcterms:modified>
</cp:coreProperties>
</file>