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8240;o:allowoverlap:true;o:allowincell:true;mso-position-horizontal-relative:text;margin-left:213.15pt;mso-position-horizontal:absolute;mso-position-vertical-relative:text;margin-top:0.00pt;mso-position-vertical:absolute;width:58.45pt;height:70.55pt;mso-wrap-distance-left:9.00pt;mso-wrap-distance-top:0.00pt;mso-wrap-distance-right:9.00pt;mso-wrap-distance-bottom:0.00pt;" filled="f" stroked="f">
            <v:path textboxrect="0,0,0,0"/>
            <w10:wrap type="square"/>
            <v:imagedata r:id="rId13" o:title=""/>
          </v:shape>
          <o:OLEObject DrawAspect="Content" r:id="rId14" ObjectID="_1525040" ProgID="PBrush" ShapeID="_x0000_i0" Type="Embed"/>
        </w:object>
      </w:r>
      <w:r>
        <w:rPr>
          <w:b/>
          <w:sz w:val="28"/>
          <w:szCs w:val="28"/>
        </w:rPr>
        <w:br w:type="textWrapping" w:clear="all"/>
      </w:r>
      <w:r>
        <w:rPr>
          <w:b/>
          <w:bCs/>
          <w:sz w:val="28"/>
          <w:szCs w:val="28"/>
          <w:highlight w:val="none"/>
        </w:rPr>
      </w:r>
    </w:p>
    <w:p>
      <w:r/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</w:t>
      </w:r>
      <w:bookmarkStart w:id="0" w:name="_GoBack"/>
      <w:r/>
      <w:bookmarkEnd w:id="0"/>
      <w:r>
        <w:rPr>
          <w:b/>
          <w:sz w:val="28"/>
          <w:szCs w:val="28"/>
        </w:rPr>
        <w:t xml:space="preserve">ОЙ ОБЛАСТИ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.В</w:t>
      </w:r>
      <w:r>
        <w:rPr>
          <w:sz w:val="28"/>
          <w:szCs w:val="28"/>
        </w:rPr>
        <w:t xml:space="preserve">ейделевка</w:t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</w:rPr>
      </w:pPr>
      <w:r>
        <w:rPr>
          <w:sz w:val="28"/>
        </w:rPr>
        <w:t xml:space="preserve"> «</w:t>
      </w:r>
      <w:r>
        <w:rPr>
          <w:sz w:val="28"/>
        </w:rPr>
        <w:t xml:space="preserve">26»</w:t>
      </w:r>
      <w:r>
        <w:rPr>
          <w:sz w:val="28"/>
        </w:rPr>
        <w:t xml:space="preserve"> марта 20</w:t>
      </w:r>
      <w:r>
        <w:rPr>
          <w:sz w:val="28"/>
        </w:rPr>
        <w:t xml:space="preserve">2</w:t>
      </w:r>
      <w:r>
        <w:rPr>
          <w:sz w:val="28"/>
        </w:rPr>
        <w:t xml:space="preserve">5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</w:t>
      </w:r>
      <w:r>
        <w:rPr>
          <w:sz w:val="28"/>
        </w:rPr>
        <w:t xml:space="preserve">№ </w:t>
      </w:r>
      <w:r>
        <w:rPr>
          <w:sz w:val="28"/>
        </w:rPr>
        <w:t xml:space="preserve">101</w:t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 ноября 2024 года </w:t>
      </w:r>
      <w:r>
        <w:rPr>
          <w:b/>
          <w:sz w:val="28"/>
          <w:szCs w:val="28"/>
        </w:rPr>
        <w:t xml:space="preserve">№2</w:t>
      </w:r>
      <w:r>
        <w:rPr>
          <w:b/>
          <w:sz w:val="28"/>
          <w:szCs w:val="28"/>
        </w:rPr>
        <w:t xml:space="preserve">84</w:t>
      </w:r>
      <w:r>
        <w:rPr>
          <w:b/>
          <w:sz w:val="28"/>
          <w:szCs w:val="28"/>
        </w:rPr>
      </w:r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</w:t>
      </w:r>
      <w:r>
        <w:rPr>
          <w:rFonts w:eastAsia="Calibri"/>
          <w:bCs/>
          <w:sz w:val="28"/>
          <w:szCs w:val="28"/>
          <w:lang w:eastAsia="en-US"/>
        </w:rPr>
        <w:t xml:space="preserve">актуализации</w:t>
      </w:r>
      <w:r>
        <w:rPr>
          <w:rFonts w:eastAsia="Calibri"/>
          <w:sz w:val="28"/>
          <w:szCs w:val="28"/>
          <w:lang w:eastAsia="en-US"/>
        </w:rPr>
        <w:t xml:space="preserve"> и повышения эффективности реализации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«Об утверждении муниципальной программы «Развитие общественного самоуправления в </w:t>
      </w:r>
      <w:r>
        <w:rPr>
          <w:rFonts w:eastAsia="Calibri"/>
          <w:sz w:val="28"/>
          <w:szCs w:val="28"/>
          <w:lang w:eastAsia="en-US"/>
        </w:rPr>
        <w:t xml:space="preserve">Вейделевском</w:t>
      </w:r>
      <w:r>
        <w:rPr>
          <w:rFonts w:eastAsia="Calibri"/>
          <w:sz w:val="28"/>
          <w:szCs w:val="28"/>
          <w:lang w:eastAsia="en-US"/>
        </w:rPr>
        <w:t xml:space="preserve"> районе»,</w:t>
      </w:r>
      <w:r>
        <w:rPr>
          <w:rFonts w:eastAsia="Calibri"/>
          <w:bCs/>
          <w:sz w:val="28"/>
          <w:szCs w:val="28"/>
          <w:lang w:eastAsia="en-US"/>
        </w:rPr>
        <w:t xml:space="preserve"> утвержденной постановлением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1 ноября 2024 года №284, </w:t>
      </w:r>
      <w:r>
        <w:rPr>
          <w:rFonts w:eastAsia="Calibri"/>
          <w:bCs/>
          <w:sz w:val="28"/>
          <w:szCs w:val="28"/>
          <w:lang w:eastAsia="en-US"/>
        </w:rPr>
        <w:t xml:space="preserve">р</w:t>
      </w:r>
      <w:r>
        <w:rPr>
          <w:rFonts w:eastAsia="Calibri"/>
          <w:sz w:val="28"/>
          <w:szCs w:val="28"/>
          <w:lang w:eastAsia="en-US"/>
        </w:rPr>
        <w:t xml:space="preserve">уководствуясь Бюджетным кодексом Российской Федерации, Уставом   муниципального   района 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  район», а также в соответствии с решением Муниципального совета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24.12.2024 года № 5 «О бюджете муниципального района</w:t>
      </w:r>
      <w:r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на 2025 год и на плановый период 2026 и 2027 годов»  </w:t>
      </w:r>
      <w:r>
        <w:rPr>
          <w:rFonts w:eastAsia="Calibri"/>
          <w:b/>
          <w:sz w:val="28"/>
          <w:szCs w:val="28"/>
          <w:lang w:eastAsia="en-US"/>
        </w:rPr>
        <w:t xml:space="preserve">п</w:t>
      </w:r>
      <w:r>
        <w:rPr>
          <w:rFonts w:eastAsia="Calibri"/>
          <w:b/>
          <w:sz w:val="28"/>
          <w:szCs w:val="28"/>
          <w:lang w:eastAsia="en-US"/>
        </w:rPr>
        <w:t xml:space="preserve"> о с т а н о в л я ю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Внести следующие изменения в постановление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1 ноября 2024 года №284 «Об утверждении муниципальной программы «Развитие общественного самоуправления в </w:t>
      </w:r>
      <w:r>
        <w:rPr>
          <w:rFonts w:eastAsia="Calibri"/>
          <w:sz w:val="28"/>
          <w:szCs w:val="28"/>
          <w:lang w:eastAsia="en-US"/>
        </w:rPr>
        <w:t xml:space="preserve">Вейделевском</w:t>
      </w:r>
      <w:r>
        <w:rPr>
          <w:rFonts w:eastAsia="Calibri"/>
          <w:sz w:val="28"/>
          <w:szCs w:val="28"/>
          <w:lang w:eastAsia="en-US"/>
        </w:rPr>
        <w:t xml:space="preserve"> районе»: 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Изложить в новой редакции согласно приложениям: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Подраздел 1 «Основные положения» и подраздел 5 «Финансовое обеспечение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 раздела II «Паспорт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«Развитие общественного самоуправления в </w:t>
      </w:r>
      <w:r>
        <w:rPr>
          <w:rFonts w:eastAsia="Calibri"/>
          <w:sz w:val="28"/>
          <w:szCs w:val="28"/>
          <w:lang w:eastAsia="en-US"/>
        </w:rPr>
        <w:t xml:space="preserve">Вейделевском</w:t>
      </w:r>
      <w:r>
        <w:rPr>
          <w:rFonts w:eastAsia="Calibri"/>
          <w:sz w:val="28"/>
          <w:szCs w:val="28"/>
          <w:lang w:eastAsia="en-US"/>
        </w:rPr>
        <w:t xml:space="preserve"> районе</w:t>
      </w:r>
      <w:r>
        <w:rPr>
          <w:rFonts w:eastAsia="Calibri"/>
          <w:sz w:val="28"/>
          <w:szCs w:val="28"/>
          <w:lang w:eastAsia="en-US"/>
        </w:rPr>
        <w:t xml:space="preserve">» (приложения №1 и №2);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1.1.2. Подраздел 5 «Финансовое обеспечение комплекса процессных мероприятий 1» раздела III «Паспорт комплекса процессных мероприятий «Оказание на конкурсной основе муниципальной поддержки ТОС, ставшими победителями районного конкурса «Лучший проект ТОС» </w:t>
      </w:r>
      <w:r>
        <w:rPr>
          <w:rFonts w:eastAsia="Calibri"/>
          <w:sz w:val="28"/>
          <w:szCs w:val="28"/>
          <w:lang w:eastAsia="en-US"/>
        </w:rPr>
        <w:t xml:space="preserve">(приложение №3);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1.1.3. Подраздел 5 «Финансовое обеспечение ко</w:t>
      </w:r>
      <w:r>
        <w:rPr>
          <w:rFonts w:eastAsia="Calibri"/>
          <w:sz w:val="28"/>
          <w:szCs w:val="28"/>
          <w:lang w:eastAsia="en-US"/>
        </w:rPr>
        <w:t xml:space="preserve">мплекса процессных мероприятий 2» раздела IV «Паспорт комплекса процессных мероприятий «Материальное стимулирование территориальных общественных самоуправлений – победителей ежегодного районного конкурса «Лучшее территориальное общественное самоуправление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 </w:t>
      </w:r>
      <w:r>
        <w:rPr>
          <w:rFonts w:eastAsia="Calibri"/>
          <w:sz w:val="28"/>
          <w:szCs w:val="28"/>
          <w:lang w:eastAsia="en-US"/>
        </w:rPr>
        <w:t xml:space="preserve">(приложение №4).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Заместителю</w:t>
      </w:r>
      <w:r>
        <w:rPr>
          <w:rFonts w:eastAsia="Calibri"/>
          <w:sz w:val="28"/>
          <w:szCs w:val="28"/>
          <w:lang w:eastAsia="en-US"/>
        </w:rPr>
        <w:t xml:space="preserve"> начальника управления по организационно-контрольной и кадровой работе – начальнику организационно-контрольного отдела администрации района Гончаренко О.Н. опубликовать настоящее постановление в печатном средстве массовой информации муниципального района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«Информационный бюллетень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района».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Начальнику отдела делопроизводства, писем по связям с общественностью и СМИ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</w:t>
      </w:r>
      <w:r>
        <w:rPr>
          <w:rFonts w:eastAsia="Calibri"/>
          <w:sz w:val="28"/>
          <w:szCs w:val="28"/>
          <w:lang w:eastAsia="en-US"/>
        </w:rPr>
        <w:t xml:space="preserve">Авериной</w:t>
      </w:r>
      <w:r>
        <w:rPr>
          <w:rFonts w:eastAsia="Calibri"/>
          <w:sz w:val="28"/>
          <w:szCs w:val="28"/>
          <w:lang w:eastAsia="en-US"/>
        </w:rPr>
        <w:t xml:space="preserve"> Н.В. </w:t>
      </w:r>
      <w:r>
        <w:rPr>
          <w:rFonts w:eastAsia="Calibri"/>
          <w:sz w:val="28"/>
          <w:szCs w:val="28"/>
          <w:lang w:eastAsia="en-US"/>
        </w:rPr>
        <w:t xml:space="preserve">разместить</w:t>
      </w:r>
      <w:r>
        <w:rPr>
          <w:rFonts w:eastAsia="Calibri"/>
          <w:sz w:val="28"/>
          <w:szCs w:val="28"/>
          <w:lang w:eastAsia="en-US"/>
        </w:rPr>
        <w:t xml:space="preserve"> данное постановление на официальном сайте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района.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 </w:t>
      </w:r>
      <w:r>
        <w:rPr>
          <w:rFonts w:eastAsia="Calibri"/>
          <w:sz w:val="28"/>
          <w:szCs w:val="28"/>
          <w:lang w:eastAsia="en-US"/>
        </w:rPr>
        <w:t xml:space="preserve">Контроль за</w:t>
      </w:r>
      <w:r>
        <w:rPr>
          <w:rFonts w:eastAsia="Calibr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– руководителя аппарата главы администрации района </w:t>
      </w:r>
      <w:r>
        <w:rPr>
          <w:rFonts w:eastAsia="Calibri"/>
          <w:sz w:val="28"/>
          <w:szCs w:val="28"/>
          <w:lang w:eastAsia="en-US"/>
        </w:rPr>
        <w:t xml:space="preserve">Лемзякову</w:t>
      </w:r>
      <w:r>
        <w:rPr>
          <w:rFonts w:eastAsia="Calibri"/>
          <w:sz w:val="28"/>
          <w:szCs w:val="28"/>
          <w:lang w:eastAsia="en-US"/>
        </w:rPr>
        <w:t xml:space="preserve"> Ю.А.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rPr>
          <w:spacing w:val="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5. Настоящее постановление вступает в законную силу с момента его официального опубликования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</w:r>
    </w:p>
    <w:p>
      <w:pPr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Глава администрации </w:t>
      </w:r>
      <w:r>
        <w:rPr>
          <w:b/>
          <w:sz w:val="28"/>
        </w:rPr>
      </w:r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Вейделевского</w:t>
      </w:r>
      <w:r>
        <w:rPr>
          <w:b/>
          <w:sz w:val="28"/>
        </w:rPr>
        <w:t xml:space="preserve"> района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</w:t>
      </w:r>
      <w:r>
        <w:rPr>
          <w:b/>
          <w:sz w:val="28"/>
        </w:rPr>
        <w:t xml:space="preserve">А.Самойлова</w:t>
      </w:r>
      <w:r>
        <w:rPr>
          <w:b/>
          <w:sz w:val="28"/>
        </w:rPr>
      </w:r>
    </w:p>
    <w:p>
      <w:pPr>
        <w:rPr>
          <w:b/>
          <w:sz w:val="28"/>
        </w:rPr>
        <w:sectPr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20" w:equalWidth="1"/>
          <w:docGrid w:linePitch="360"/>
        </w:sect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Приложение №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</w:r>
    </w:p>
    <w:p>
      <w:pPr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</w:p>
    <w:p>
      <w:pPr>
        <w:jc w:val="center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</w:p>
    <w:p>
      <w:pPr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2025 года №101</w:t>
      </w:r>
      <w:r>
        <w:rPr>
          <w:b/>
          <w:sz w:val="28"/>
          <w:szCs w:val="28"/>
        </w:rPr>
      </w:r>
    </w:p>
    <w:p>
      <w:pPr>
        <w:jc w:val="right"/>
        <w:tabs>
          <w:tab w:val="left" w:pos="410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rPr>
          <w:sz w:val="28"/>
          <w:szCs w:val="28"/>
        </w:rPr>
      </w:pPr>
      <w:r/>
      <w:bookmarkStart w:id="1" w:name="Par41"/>
      <w:r/>
      <w:bookmarkEnd w:id="1"/>
      <w:r/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II. Паспорт Муниципальной программы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«Развитие общественного самоуправления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районе»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1. Основные положения</w:t>
      </w:r>
      <w:r>
        <w:rPr>
          <w:b/>
          <w:sz w:val="28"/>
          <w:szCs w:val="28"/>
        </w:rPr>
      </w:r>
    </w:p>
    <w:p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3"/>
        <w:gridCol w:w="3427"/>
        <w:gridCol w:w="1871"/>
      </w:tblGrid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Куратор муниципальной программы 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  <w:outlineLvl w:val="1"/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Лемзякова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Юлия Алексеевна – заместитель главы администрации 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района – руководитель аппарата главы администрации района 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Ответственный исполнитель муниципальной программы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jc w:val="both"/>
              <w:keepLines/>
              <w:spacing w:line="228" w:lineRule="auto"/>
              <w:widowControl w:val="off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Снустикова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Елена Александровна – начальник управления по организационно-контрольной и кадровой работе администрации 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района 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Период реализации муниципальной программы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2025-2030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г.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г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1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Цели муниципальной программы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Развитие системы  общественного самоуправления 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Направления (подпрограммы)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муниципальной программы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-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vMerge w:val="restart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Источник финансового обеспечения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pct"/>
            <w:vAlign w:val="center"/>
            <w:textDirection w:val="lrTb"/>
            <w:noWrap w:val="false"/>
          </w:tcPr>
          <w:p>
            <w:pPr>
              <w:jc w:val="center"/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Объем финансового обеспечения, тыс. рублей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(всего), из них: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 w:themeColor="text1"/>
                <w:sz w:val="28"/>
                <w:szCs w:val="28"/>
              </w:rPr>
            </w:pPr>
            <w:r>
              <w:rPr>
                <w:rFonts w:eastAsia="Arial Unicode MS"/>
                <w:color w:val="000000" w:themeColor="text1"/>
                <w:sz w:val="28"/>
                <w:szCs w:val="28"/>
                <w:lang w:eastAsia="en-US"/>
              </w:rPr>
              <w:t xml:space="preserve">3544,0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межбюджетные трансферты из федерального бюджета (справочно)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 w:themeColor="text1"/>
                <w:sz w:val="28"/>
                <w:szCs w:val="28"/>
              </w:rPr>
            </w:pPr>
            <w:r>
              <w:rPr>
                <w:rFonts w:eastAsia="Arial Unicode MS"/>
                <w:color w:val="000000" w:themeColor="text1"/>
                <w:sz w:val="28"/>
                <w:szCs w:val="28"/>
                <w:lang w:eastAsia="en-US"/>
              </w:rPr>
              <w:t xml:space="preserve">0,0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межбюджетные трансферты из областного бюджета (справочно)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 w:themeColor="text1"/>
                <w:sz w:val="28"/>
                <w:szCs w:val="28"/>
              </w:rPr>
            </w:pPr>
            <w:r>
              <w:rPr>
                <w:rFonts w:eastAsia="Arial Unicode MS"/>
                <w:color w:val="000000" w:themeColor="text1"/>
                <w:sz w:val="28"/>
                <w:szCs w:val="28"/>
                <w:lang w:eastAsia="en-US"/>
              </w:rPr>
              <w:t xml:space="preserve">0,0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муниципальный бюджет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 w:themeColor="text1"/>
                <w:sz w:val="28"/>
                <w:szCs w:val="28"/>
              </w:rPr>
            </w:pPr>
            <w:r>
              <w:rPr>
                <w:rFonts w:eastAsia="Arial Unicode MS"/>
                <w:color w:val="000000" w:themeColor="text1"/>
                <w:sz w:val="28"/>
                <w:szCs w:val="28"/>
                <w:lang w:eastAsia="en-US"/>
              </w:rPr>
              <w:t xml:space="preserve">3544,0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источники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0,0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Связь с национальными целями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развития/государственными программами Белгородской области</w:t>
            </w:r>
            <w:r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Комфортная и безопасная среда для жизни. 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  <w:p>
            <w:pPr>
              <w:spacing w:line="228" w:lineRule="auto"/>
              <w:rPr>
                <w:sz w:val="28"/>
                <w:szCs w:val="28"/>
                <w:shd w:val="clear" w:color="auto" w:fill="fefefe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Показатель  национальной цели:</w:t>
            </w:r>
            <w:r>
              <w:rPr>
                <w:sz w:val="28"/>
                <w:szCs w:val="28"/>
                <w:shd w:val="clear" w:color="auto" w:fill="fefefe"/>
              </w:rPr>
              <w:t xml:space="preserve"> </w:t>
            </w:r>
            <w:r>
              <w:rPr>
                <w:sz w:val="28"/>
                <w:szCs w:val="28"/>
                <w:shd w:val="clear" w:color="auto" w:fill="fefefe"/>
              </w:rPr>
            </w:r>
          </w:p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shd w:val="clear" w:color="auto" w:fill="fefefe"/>
              </w:rPr>
              <w:t xml:space="preserve">-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Благоустройство не менее чем 30 тыс. общественных территорий и реализация в малых городах и исторических поселениях не менее чем 1600 проектов 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победителей Всероссийского конкурса лучших проектов создания комфортной городской среды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к 2030 году 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Связь с целями развития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района / стратегическими приоритетами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Cs/>
                <w:iCs/>
                <w:sz w:val="28"/>
                <w:szCs w:val="28"/>
                <w:lang w:eastAsia="en-US"/>
              </w:rPr>
              <w:t xml:space="preserve">Жилищно-коммунальная сфера и благоустройство</w:t>
            </w:r>
            <w:r>
              <w:rPr>
                <w:rFonts w:eastAsia="Arial Unicode MS"/>
                <w:sz w:val="28"/>
                <w:szCs w:val="28"/>
                <w:lang w:eastAsia="en-US"/>
              </w:rPr>
            </w:r>
          </w:p>
        </w:tc>
      </w:tr>
    </w:tbl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tabs>
          <w:tab w:val="left" w:pos="567" w:leader="none"/>
        </w:tabs>
        <w:rPr>
          <w:rFonts w:eastAsia="Calibri"/>
          <w:b/>
          <w:sz w:val="28"/>
          <w:szCs w:val="28"/>
          <w:lang w:eastAsia="en-US"/>
        </w:rPr>
        <w:outlineLvl w:val="3"/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rPr>
          <w:rFonts w:eastAsia="Calibri"/>
          <w:b/>
          <w:sz w:val="28"/>
          <w:szCs w:val="28"/>
          <w:lang w:eastAsia="en-US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20" w:equalWidth="1"/>
          <w:docGrid w:linePitch="360"/>
        </w:sectPr>
      </w:pP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№2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2025 года №101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Финансовое обеспечение Муниципальной программы </w:t>
      </w:r>
      <w:r>
        <w:rPr>
          <w:b/>
          <w:sz w:val="26"/>
          <w:szCs w:val="26"/>
        </w:rPr>
        <w:t xml:space="preserve">Вейделевского</w:t>
      </w:r>
      <w:r>
        <w:rPr>
          <w:b/>
          <w:sz w:val="26"/>
          <w:szCs w:val="26"/>
        </w:rPr>
        <w:t xml:space="preserve"> района</w:t>
      </w:r>
      <w:r>
        <w:rPr>
          <w:b/>
          <w:sz w:val="26"/>
          <w:szCs w:val="26"/>
        </w:rPr>
      </w:r>
    </w:p>
    <w:p>
      <w:pPr>
        <w:jc w:val="both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4"/>
        <w:gridCol w:w="2855"/>
        <w:gridCol w:w="848"/>
        <w:gridCol w:w="857"/>
        <w:gridCol w:w="860"/>
        <w:gridCol w:w="857"/>
        <w:gridCol w:w="857"/>
        <w:gridCol w:w="1003"/>
        <w:gridCol w:w="1255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муниципальной программы, структурного элемента, </w:t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источник финансового обеспечения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бюджетной классификации</w:t>
            </w:r>
            <w:r>
              <w:rPr>
                <w:sz w:val="26"/>
                <w:szCs w:val="26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финансового обеспечения по годам, тыс. рублей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2028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2029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2030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Муниципальная программа </w:t>
            </w:r>
            <w:r>
              <w:rPr>
                <w:b/>
                <w:sz w:val="26"/>
                <w:szCs w:val="26"/>
              </w:rPr>
              <w:t xml:space="preserve">Вейделевского</w:t>
            </w:r>
            <w:r>
              <w:rPr>
                <w:b/>
                <w:sz w:val="26"/>
                <w:szCs w:val="26"/>
              </w:rPr>
              <w:t xml:space="preserve"> района:  «Развитие общественного самоуправления в </w:t>
            </w:r>
            <w:r>
              <w:rPr>
                <w:b/>
                <w:sz w:val="26"/>
                <w:szCs w:val="26"/>
              </w:rPr>
              <w:t xml:space="preserve">Вейделевском</w:t>
            </w:r>
            <w:r>
              <w:rPr>
                <w:b/>
                <w:sz w:val="26"/>
                <w:szCs w:val="26"/>
              </w:rPr>
              <w:t xml:space="preserve"> районе» (всего), в том числе: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1200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1100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1100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3544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1200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1100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1100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3544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межбюджетные трансферты из 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муниципальный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налоговых расходов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Комплекс процессных мероприятий №1 «Оказание на конкурсной основе муниципальной поддержки ТОС, ставшими победителями районного конкурса «Лучший проект ТОС» (всего), в том числе: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13 4 01 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1048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850 0503 13 4 01 29990 200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1048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 межбюджетные трансферты из 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муниципальный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Нераспределенный резерв (местный бюджет)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Комплекс процессных мероприятий №2 «Материальное стимулирование территориальных общественных самоуправлений – победителей ежегодного районного конкурса «Лучшее территориальное общественное самоуправление </w:t>
            </w:r>
            <w:r>
              <w:rPr>
                <w:b/>
                <w:sz w:val="26"/>
                <w:szCs w:val="26"/>
              </w:rPr>
              <w:t xml:space="preserve">Вейделевского</w:t>
            </w:r>
            <w:r>
              <w:rPr>
                <w:b/>
                <w:sz w:val="26"/>
                <w:szCs w:val="26"/>
              </w:rPr>
              <w:t xml:space="preserve"> района» (всего), в том числе: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13 4 02 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2496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850 0503 13 4 02 29990 200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2496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 межбюджетные трансферты из 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0,0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муниципальный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Нераспределенный резерв (местный бюджет)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  <w:sectPr>
          <w:footnotePr/>
          <w:endnotePr/>
          <w:type w:val="nextPage"/>
          <w:pgSz w:w="16838" w:h="11906" w:orient="landscape"/>
          <w:pgMar w:top="851" w:right="1134" w:bottom="1418" w:left="1134" w:header="709" w:footer="709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 w:val="off"/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№3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2025 года №101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 Паспорт комплекса процессных мероприятий</w:t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«Оказание на конкурсной основе муниципальной поддержки ТОС, ставшими победителями районного конкурса «Лучший проект ТОС»</w:t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(далее - комплекс процессных мероприятий 1)</w:t>
      </w:r>
      <w:r>
        <w:rPr>
          <w:b/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  <w:t xml:space="preserve">5. Финансовое обеспечение комплекса процессных мероприятий 1</w:t>
      </w:r>
      <w:r>
        <w:rPr>
          <w:b/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4"/>
        <w:gridCol w:w="2855"/>
        <w:gridCol w:w="848"/>
        <w:gridCol w:w="857"/>
        <w:gridCol w:w="860"/>
        <w:gridCol w:w="860"/>
        <w:gridCol w:w="860"/>
        <w:gridCol w:w="1006"/>
        <w:gridCol w:w="1246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бюджетной классификации</w:t>
            </w:r>
            <w:r>
              <w:rPr>
                <w:sz w:val="26"/>
                <w:szCs w:val="26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финансового обеспечения по годам, тыс. рублей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2028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2029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2030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Комплекс процессных мероприятий: «Оказание на конкурсной основе муниципальной поддержки ТОС, ставшими победителями районного конкурса «Лучший проект ТОС»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13 4 01 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1048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850 0503 13 4 01 29990 200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1048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 межбюджетные трансферты из 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муниципальный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Мероприятие 1 «Обеспечено проведение конкурса на предоставлении субсидии из местного бюджета муниципального района «</w:t>
            </w:r>
            <w:r>
              <w:rPr>
                <w:b/>
                <w:sz w:val="26"/>
                <w:szCs w:val="26"/>
              </w:rPr>
              <w:t xml:space="preserve">Вейделевский</w:t>
            </w:r>
            <w:r>
              <w:rPr>
                <w:b/>
                <w:sz w:val="26"/>
                <w:szCs w:val="26"/>
              </w:rPr>
              <w:t xml:space="preserve"> район» </w:t>
            </w:r>
            <w:r>
              <w:rPr>
                <w:b/>
                <w:sz w:val="26"/>
                <w:szCs w:val="26"/>
              </w:rPr>
              <w:t xml:space="preserve">городскому</w:t>
            </w:r>
            <w:r>
              <w:rPr>
                <w:b/>
                <w:sz w:val="26"/>
                <w:szCs w:val="26"/>
              </w:rPr>
              <w:t xml:space="preserve"> и сельским поселениям района на поддержку социально значимых проектов, реализуемых территориальными общественными самоуправлениями в муниципальных образованиях </w:t>
            </w:r>
            <w:r>
              <w:rPr>
                <w:b/>
                <w:sz w:val="26"/>
                <w:szCs w:val="26"/>
              </w:rPr>
              <w:t xml:space="preserve">Вейделевского</w:t>
            </w:r>
            <w:r>
              <w:rPr>
                <w:b/>
                <w:sz w:val="26"/>
                <w:szCs w:val="26"/>
              </w:rPr>
              <w:t xml:space="preserve"> района»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850 0503 13 4 01 29990 200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400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1048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850 0503 13 4 01 29990 200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 межбюджетные трансферты из 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муниципальный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9" w:type="pct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Нераспределенный резерв (местный бюджет)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</w:tbl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67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ind w:left="5670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Приложение №4</w:t>
      </w:r>
      <w:r>
        <w:rPr>
          <w:b/>
          <w:bCs/>
          <w:sz w:val="28"/>
          <w:szCs w:val="28"/>
          <w:highlight w:val="none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</w:r>
    </w:p>
    <w:p>
      <w:pPr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«26» марта 2025 года №101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</w:t>
      </w:r>
      <w:r>
        <w:rPr>
          <w:b/>
          <w:sz w:val="26"/>
          <w:szCs w:val="26"/>
          <w:lang w:val="en-US"/>
        </w:rPr>
        <w:t xml:space="preserve">V</w:t>
      </w:r>
      <w:r>
        <w:rPr>
          <w:b/>
          <w:sz w:val="26"/>
          <w:szCs w:val="26"/>
        </w:rPr>
        <w:t xml:space="preserve">. Паспорт комплекса процессных мероприятий</w:t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«Материальное стимулирование территориальных общественных самоуправлений – победителей ежегодного районного конкурса «Лучшее территориальное общественное самоуправление </w:t>
      </w:r>
      <w:r>
        <w:rPr>
          <w:b/>
          <w:sz w:val="26"/>
          <w:szCs w:val="26"/>
        </w:rPr>
        <w:t xml:space="preserve">Вейделевского</w:t>
      </w:r>
      <w:r>
        <w:rPr>
          <w:b/>
          <w:sz w:val="26"/>
          <w:szCs w:val="26"/>
        </w:rPr>
        <w:t xml:space="preserve"> района»</w:t>
      </w:r>
      <w:r>
        <w:rPr>
          <w:b/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(далее - комплекс процессных мероприятий 2)</w:t>
      </w:r>
      <w:r>
        <w:rPr>
          <w:b/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Финансовое обеспечение комплекса процессных мероприятий 2</w:t>
      </w:r>
      <w:r>
        <w:rPr>
          <w:b/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1"/>
        <w:gridCol w:w="2870"/>
        <w:gridCol w:w="845"/>
        <w:gridCol w:w="854"/>
        <w:gridCol w:w="857"/>
        <w:gridCol w:w="857"/>
        <w:gridCol w:w="857"/>
        <w:gridCol w:w="1006"/>
        <w:gridCol w:w="1249"/>
      </w:tblGrid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бюджетной классификации</w:t>
            </w:r>
            <w:r>
              <w:rPr>
                <w:sz w:val="26"/>
                <w:szCs w:val="26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0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финансового обеспечения по годам, тыс. рублей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2028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2029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2030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Комплекс процессных мероприятий: «Материальное стимулирование территориальных общественных самоуправлений – победителей ежегодного районного конкурса «Лучшее территориальное общественное самоуправление </w:t>
            </w:r>
            <w:r>
              <w:rPr>
                <w:b/>
                <w:sz w:val="26"/>
                <w:szCs w:val="26"/>
              </w:rPr>
              <w:t xml:space="preserve">Вейделевского</w:t>
            </w:r>
            <w:r>
              <w:rPr>
                <w:b/>
                <w:sz w:val="26"/>
                <w:szCs w:val="26"/>
              </w:rPr>
              <w:t xml:space="preserve"> района»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13 4 02 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2496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850 0503 13 4 02 29990 200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2496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</w:t>
            </w:r>
            <w:r>
              <w:rPr>
                <w:sz w:val="26"/>
                <w:szCs w:val="26"/>
              </w:rPr>
              <w:t xml:space="preserve">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местный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Мероприятие 1 «Оказана финансовая поддержка председателям ТОС, </w:t>
            </w:r>
            <w:r>
              <w:rPr>
                <w:b/>
                <w:sz w:val="26"/>
                <w:szCs w:val="26"/>
              </w:rPr>
              <w:t xml:space="preserve">уличкомам</w:t>
            </w:r>
            <w:r>
              <w:rPr>
                <w:b/>
                <w:sz w:val="26"/>
                <w:szCs w:val="26"/>
              </w:rPr>
              <w:t xml:space="preserve"> и старостам насланных пунктов  »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850 0503 13 4 02 29990 200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1062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(всего), из них: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850 0503 13 4 02 29990 200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800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32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2496</w:t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федерального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межбюджетные трансферты из областного бюджета (справочно)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 местный бюджет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Внебюджетные источники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8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Нераспределенный резерв (местный бюджет)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</w:p>
        </w:tc>
      </w:tr>
    </w:tbl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after="160" w:line="256" w:lineRule="auto"/>
        <w:rPr>
          <w:b/>
          <w:sz w:val="26"/>
          <w:szCs w:val="26"/>
        </w:rPr>
      </w:pPr>
      <w:r/>
      <w:bookmarkStart w:id="2" w:name="_Hlk109748406"/>
      <w:r/>
      <w:bookmarkEnd w:id="2"/>
      <w:r/>
      <w:r>
        <w:rPr>
          <w:b/>
          <w:sz w:val="26"/>
          <w:szCs w:val="26"/>
        </w:rPr>
      </w:r>
    </w:p>
    <w:p>
      <w:pPr>
        <w:spacing w:after="160" w:line="25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ind w:left="849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570607"/>
      <w:docPartObj>
        <w:docPartGallery w:val="Page Numbers (Top of Page)"/>
        <w:docPartUnique w:val="true"/>
      </w:docPartObj>
      <w:rPr/>
    </w:sdtPr>
    <w:sdtContent>
      <w:p>
        <w:pPr>
          <w:pStyle w:val="74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7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3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14"/>
  </w:num>
  <w:num w:numId="11">
    <w:abstractNumId w:val="1"/>
  </w:num>
  <w:num w:numId="12">
    <w:abstractNumId w:val="16"/>
  </w:num>
  <w:num w:numId="13">
    <w:abstractNumId w:val="17"/>
  </w:num>
  <w:num w:numId="14">
    <w:abstractNumId w:val="9"/>
  </w:num>
  <w:num w:numId="15">
    <w:abstractNumId w:val="7"/>
  </w:num>
  <w:num w:numId="16">
    <w:abstractNumId w:val="15"/>
  </w:num>
  <w:num w:numId="17">
    <w:abstractNumId w:val="4"/>
  </w:num>
  <w:num w:numId="18">
    <w:abstractNumId w:val="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2"/>
    <w:link w:val="74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2"/>
    <w:link w:val="741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9"/>
    <w:next w:val="7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9"/>
    <w:next w:val="7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9"/>
    <w:next w:val="7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9"/>
    <w:next w:val="7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39"/>
    <w:next w:val="7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42"/>
    <w:link w:val="34"/>
    <w:uiPriority w:val="10"/>
    <w:rPr>
      <w:sz w:val="48"/>
      <w:szCs w:val="48"/>
    </w:rPr>
  </w:style>
  <w:style w:type="paragraph" w:styleId="36">
    <w:name w:val="Subtitle"/>
    <w:basedOn w:val="739"/>
    <w:next w:val="7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2"/>
    <w:link w:val="36"/>
    <w:uiPriority w:val="11"/>
    <w:rPr>
      <w:sz w:val="24"/>
      <w:szCs w:val="24"/>
    </w:rPr>
  </w:style>
  <w:style w:type="paragraph" w:styleId="38">
    <w:name w:val="Quote"/>
    <w:basedOn w:val="739"/>
    <w:next w:val="7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9"/>
    <w:next w:val="7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2"/>
    <w:link w:val="747"/>
    <w:uiPriority w:val="99"/>
  </w:style>
  <w:style w:type="character" w:styleId="45">
    <w:name w:val="Footer Char"/>
    <w:basedOn w:val="742"/>
    <w:link w:val="745"/>
    <w:uiPriority w:val="99"/>
  </w:style>
  <w:style w:type="paragraph" w:styleId="46">
    <w:name w:val="Caption"/>
    <w:basedOn w:val="739"/>
    <w:next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5"/>
    <w:uiPriority w:val="99"/>
  </w:style>
  <w:style w:type="table" w:styleId="49">
    <w:name w:val="Table Grid Light"/>
    <w:basedOn w:val="7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66"/>
    <w:uiPriority w:val="99"/>
    <w:rPr>
      <w:sz w:val="18"/>
    </w:rPr>
  </w:style>
  <w:style w:type="character" w:styleId="179">
    <w:name w:val="Endnote Text Char"/>
    <w:link w:val="763"/>
    <w:uiPriority w:val="99"/>
    <w:rPr>
      <w:sz w:val="20"/>
    </w:rPr>
  </w:style>
  <w:style w:type="paragraph" w:styleId="181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9"/>
    <w:next w:val="7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qFormat/>
  </w:style>
  <w:style w:type="paragraph" w:styleId="740">
    <w:name w:val="Heading 1"/>
    <w:basedOn w:val="739"/>
    <w:next w:val="739"/>
    <w:link w:val="756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741">
    <w:name w:val="Heading 2"/>
    <w:basedOn w:val="739"/>
    <w:next w:val="739"/>
    <w:link w:val="78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742" w:default="1">
    <w:name w:val="Default Paragraph Font"/>
    <w:uiPriority w:val="1"/>
    <w:semiHidden/>
    <w:unhideWhenUsed/>
  </w:style>
  <w:style w:type="table" w:styleId="7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4" w:default="1">
    <w:name w:val="No List"/>
    <w:uiPriority w:val="99"/>
    <w:semiHidden/>
    <w:unhideWhenUsed/>
  </w:style>
  <w:style w:type="paragraph" w:styleId="745">
    <w:name w:val="Footer"/>
    <w:basedOn w:val="739"/>
    <w:link w:val="760"/>
    <w:uiPriority w:val="99"/>
    <w:pPr>
      <w:tabs>
        <w:tab w:val="center" w:pos="4677" w:leader="none"/>
        <w:tab w:val="right" w:pos="9355" w:leader="none"/>
      </w:tabs>
    </w:pPr>
  </w:style>
  <w:style w:type="character" w:styleId="746">
    <w:name w:val="page number"/>
    <w:basedOn w:val="742"/>
    <w:uiPriority w:val="99"/>
  </w:style>
  <w:style w:type="paragraph" w:styleId="747">
    <w:name w:val="Header"/>
    <w:basedOn w:val="739"/>
    <w:link w:val="759"/>
    <w:uiPriority w:val="99"/>
    <w:pPr>
      <w:tabs>
        <w:tab w:val="center" w:pos="4677" w:leader="none"/>
        <w:tab w:val="right" w:pos="9355" w:leader="none"/>
      </w:tabs>
    </w:pPr>
  </w:style>
  <w:style w:type="paragraph" w:styleId="748" w:customStyle="1">
    <w:name w:val="consplusnormal"/>
    <w:basedOn w:val="739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749">
    <w:name w:val="Body Text"/>
    <w:basedOn w:val="739"/>
    <w:link w:val="750"/>
    <w:uiPriority w:val="99"/>
    <w:pPr>
      <w:jc w:val="both"/>
    </w:pPr>
    <w:rPr>
      <w:sz w:val="28"/>
      <w:lang w:val="en-US"/>
    </w:rPr>
  </w:style>
  <w:style w:type="character" w:styleId="750" w:customStyle="1">
    <w:name w:val="Основной текст Знак"/>
    <w:link w:val="749"/>
    <w:uiPriority w:val="99"/>
    <w:rPr>
      <w:sz w:val="28"/>
      <w:lang w:val="en-US"/>
    </w:rPr>
  </w:style>
  <w:style w:type="paragraph" w:styleId="751">
    <w:name w:val="Normal (Web)"/>
    <w:basedOn w:val="73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752">
    <w:name w:val="Strong"/>
    <w:qFormat/>
    <w:rPr>
      <w:b/>
      <w:bCs/>
    </w:rPr>
  </w:style>
  <w:style w:type="paragraph" w:styleId="753">
    <w:name w:val="Balloon Text"/>
    <w:basedOn w:val="739"/>
    <w:link w:val="754"/>
    <w:uiPriority w:val="99"/>
    <w:rPr>
      <w:rFonts w:ascii="Tahoma" w:hAnsi="Tahoma"/>
      <w:sz w:val="16"/>
      <w:szCs w:val="16"/>
    </w:rPr>
  </w:style>
  <w:style w:type="character" w:styleId="754" w:customStyle="1">
    <w:name w:val="Текст выноски Знак"/>
    <w:link w:val="753"/>
    <w:uiPriority w:val="99"/>
    <w:rPr>
      <w:rFonts w:ascii="Tahoma" w:hAnsi="Tahoma" w:cs="Tahoma"/>
      <w:sz w:val="16"/>
      <w:szCs w:val="16"/>
    </w:rPr>
  </w:style>
  <w:style w:type="paragraph" w:styleId="755" w:customStyle="1">
    <w:name w:val="ConsPlusNormal"/>
    <w:link w:val="774"/>
    <w:pPr>
      <w:ind w:firstLine="720"/>
      <w:widowControl w:val="off"/>
    </w:pPr>
    <w:rPr>
      <w:rFonts w:ascii="Arial" w:hAnsi="Arial" w:cs="Arial"/>
    </w:rPr>
  </w:style>
  <w:style w:type="character" w:styleId="756" w:customStyle="1">
    <w:name w:val="Заголовок 1 Знак"/>
    <w:link w:val="740"/>
    <w:uiPriority w:val="99"/>
    <w:rPr>
      <w:b/>
      <w:bCs/>
      <w:sz w:val="24"/>
      <w:szCs w:val="24"/>
    </w:rPr>
  </w:style>
  <w:style w:type="paragraph" w:styleId="757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758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759" w:customStyle="1">
    <w:name w:val="Верхний колонтитул Знак"/>
    <w:link w:val="747"/>
    <w:uiPriority w:val="99"/>
  </w:style>
  <w:style w:type="character" w:styleId="760" w:customStyle="1">
    <w:name w:val="Нижний колонтитул Знак"/>
    <w:link w:val="745"/>
    <w:uiPriority w:val="99"/>
  </w:style>
  <w:style w:type="paragraph" w:styleId="761">
    <w:name w:val="List Paragraph"/>
    <w:basedOn w:val="739"/>
    <w:link w:val="776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762">
    <w:name w:val="Table Grid"/>
    <w:basedOn w:val="743"/>
    <w:uiPriority w:val="5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63">
    <w:name w:val="endnote text"/>
    <w:basedOn w:val="739"/>
    <w:link w:val="764"/>
    <w:uiPriority w:val="99"/>
    <w:rPr>
      <w:rFonts w:ascii="Calibri" w:hAnsi="Calibri"/>
    </w:rPr>
  </w:style>
  <w:style w:type="character" w:styleId="764" w:customStyle="1">
    <w:name w:val="Текст концевой сноски Знак"/>
    <w:link w:val="763"/>
    <w:uiPriority w:val="99"/>
    <w:rPr>
      <w:rFonts w:ascii="Calibri" w:hAnsi="Calibri"/>
    </w:rPr>
  </w:style>
  <w:style w:type="character" w:styleId="765">
    <w:name w:val="endnote reference"/>
    <w:uiPriority w:val="99"/>
    <w:rPr>
      <w:rFonts w:cs="Times New Roman"/>
      <w:vertAlign w:val="superscript"/>
    </w:rPr>
  </w:style>
  <w:style w:type="paragraph" w:styleId="766">
    <w:name w:val="footnote text"/>
    <w:basedOn w:val="739"/>
    <w:link w:val="767"/>
    <w:uiPriority w:val="99"/>
    <w:rPr>
      <w:rFonts w:ascii="Calibri" w:hAnsi="Calibri"/>
    </w:rPr>
  </w:style>
  <w:style w:type="character" w:styleId="767" w:customStyle="1">
    <w:name w:val="Текст сноски Знак"/>
    <w:link w:val="766"/>
    <w:uiPriority w:val="99"/>
    <w:rPr>
      <w:rFonts w:ascii="Calibri" w:hAnsi="Calibri"/>
    </w:rPr>
  </w:style>
  <w:style w:type="character" w:styleId="768">
    <w:name w:val="footnote reference"/>
    <w:uiPriority w:val="99"/>
    <w:rPr>
      <w:rFonts w:cs="Times New Roman"/>
      <w:vertAlign w:val="superscript"/>
    </w:rPr>
  </w:style>
  <w:style w:type="character" w:styleId="769">
    <w:name w:val="annotation reference"/>
    <w:uiPriority w:val="99"/>
    <w:rPr>
      <w:rFonts w:cs="Times New Roman"/>
      <w:sz w:val="16"/>
      <w:szCs w:val="16"/>
    </w:rPr>
  </w:style>
  <w:style w:type="paragraph" w:styleId="770">
    <w:name w:val="annotation text"/>
    <w:basedOn w:val="739"/>
    <w:link w:val="771"/>
    <w:uiPriority w:val="99"/>
    <w:pPr>
      <w:spacing w:after="200"/>
    </w:pPr>
    <w:rPr>
      <w:rFonts w:ascii="Calibri" w:hAnsi="Calibri"/>
    </w:rPr>
  </w:style>
  <w:style w:type="character" w:styleId="771" w:customStyle="1">
    <w:name w:val="Текст примечания Знак"/>
    <w:link w:val="770"/>
    <w:uiPriority w:val="99"/>
    <w:rPr>
      <w:rFonts w:ascii="Calibri" w:hAnsi="Calibri"/>
    </w:rPr>
  </w:style>
  <w:style w:type="paragraph" w:styleId="772">
    <w:name w:val="annotation subject"/>
    <w:basedOn w:val="770"/>
    <w:next w:val="770"/>
    <w:link w:val="773"/>
    <w:uiPriority w:val="99"/>
    <w:rPr>
      <w:b/>
      <w:bCs/>
    </w:rPr>
  </w:style>
  <w:style w:type="character" w:styleId="773" w:customStyle="1">
    <w:name w:val="Тема примечания Знак"/>
    <w:link w:val="772"/>
    <w:uiPriority w:val="99"/>
    <w:rPr>
      <w:rFonts w:ascii="Calibri" w:hAnsi="Calibri"/>
      <w:b/>
      <w:bCs/>
    </w:rPr>
  </w:style>
  <w:style w:type="character" w:styleId="774" w:customStyle="1">
    <w:name w:val="ConsPlusNormal Знак"/>
    <w:link w:val="755"/>
    <w:rPr>
      <w:rFonts w:ascii="Arial" w:hAnsi="Arial" w:cs="Arial"/>
    </w:rPr>
  </w:style>
  <w:style w:type="paragraph" w:styleId="775" w:customStyle="1">
    <w:name w:val="Default"/>
    <w:uiPriority w:val="99"/>
    <w:rPr>
      <w:color w:val="000000"/>
      <w:sz w:val="24"/>
      <w:szCs w:val="24"/>
    </w:rPr>
  </w:style>
  <w:style w:type="character" w:styleId="776" w:customStyle="1">
    <w:name w:val="Абзац списка Знак"/>
    <w:link w:val="761"/>
    <w:uiPriority w:val="34"/>
    <w:rPr>
      <w:rFonts w:ascii="Calibri" w:hAnsi="Calibri"/>
      <w:sz w:val="22"/>
      <w:szCs w:val="22"/>
    </w:rPr>
  </w:style>
  <w:style w:type="paragraph" w:styleId="777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numbering" w:styleId="778" w:customStyle="1">
    <w:name w:val="Нет списка1"/>
    <w:next w:val="744"/>
    <w:uiPriority w:val="99"/>
    <w:semiHidden/>
    <w:unhideWhenUsed/>
  </w:style>
  <w:style w:type="character" w:styleId="779" w:customStyle="1">
    <w:name w:val="Основной текст_"/>
    <w:link w:val="780"/>
    <w:rPr>
      <w:sz w:val="27"/>
      <w:szCs w:val="27"/>
      <w:shd w:val="clear" w:color="auto" w:fill="ffffff"/>
    </w:rPr>
  </w:style>
  <w:style w:type="paragraph" w:styleId="780" w:customStyle="1">
    <w:name w:val="Основной текст14"/>
    <w:basedOn w:val="739"/>
    <w:link w:val="779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781">
    <w:name w:val="HTML Sample"/>
    <w:uiPriority w:val="99"/>
    <w:rPr>
      <w:rFonts w:ascii="Courier New" w:hAnsi="Courier New" w:cs="Courier New"/>
    </w:rPr>
  </w:style>
  <w:style w:type="paragraph" w:styleId="782" w:customStyle="1">
    <w:name w:val="ConsNormal"/>
    <w:uiPriority w:val="99"/>
    <w:pPr>
      <w:ind w:firstLine="720"/>
      <w:widowControl w:val="off"/>
    </w:pPr>
    <w:rPr>
      <w:rFonts w:ascii="Arial" w:hAnsi="Arial" w:cs="Arial"/>
    </w:rPr>
  </w:style>
  <w:style w:type="table" w:styleId="783" w:customStyle="1">
    <w:name w:val="Сетка таблицы1"/>
    <w:basedOn w:val="743"/>
    <w:next w:val="762"/>
    <w:uiPriority w:val="59"/>
    <w:rPr>
      <w:rFonts w:ascii="Calibri" w:hAnsi="Calibri" w:eastAsia="Calibri"/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84" w:customStyle="1">
    <w:name w:val="Основной текст1"/>
    <w:basedOn w:val="739"/>
    <w:pPr>
      <w:jc w:val="both"/>
      <w:spacing w:before="900" w:line="320" w:lineRule="exact"/>
      <w:shd w:val="clear" w:color="auto" w:fill="ffffff"/>
    </w:pPr>
    <w:rPr>
      <w:color w:val="000000"/>
      <w:sz w:val="28"/>
      <w:szCs w:val="28"/>
    </w:rPr>
  </w:style>
  <w:style w:type="numbering" w:styleId="785" w:customStyle="1">
    <w:name w:val="Нет списка2"/>
    <w:next w:val="744"/>
    <w:uiPriority w:val="99"/>
    <w:semiHidden/>
    <w:unhideWhenUsed/>
  </w:style>
  <w:style w:type="character" w:styleId="786" w:customStyle="1">
    <w:name w:val="Заголовок 2 Знак"/>
    <w:basedOn w:val="742"/>
    <w:link w:val="741"/>
    <w:rPr>
      <w:rFonts w:ascii="Arial" w:hAnsi="Arial" w:cs="Arial"/>
      <w:b/>
      <w:bCs/>
      <w:i/>
      <w:iCs/>
      <w:sz w:val="28"/>
      <w:szCs w:val="28"/>
    </w:rPr>
  </w:style>
  <w:style w:type="paragraph" w:styleId="787" w:customStyle="1">
    <w:name w:val="ConsPlusTitle"/>
    <w:uiPriority w:val="99"/>
    <w:pPr>
      <w:widowControl w:val="off"/>
    </w:pPr>
    <w:rPr>
      <w:rFonts w:ascii="Arial" w:hAnsi="Arial" w:cs="Arial"/>
      <w:b/>
      <w:bCs/>
      <w:sz w:val="24"/>
      <w:szCs w:val="24"/>
    </w:rPr>
  </w:style>
  <w:style w:type="character" w:styleId="788" w:customStyle="1">
    <w:name w:val="Гиперссылка1"/>
    <w:basedOn w:val="742"/>
    <w:uiPriority w:val="99"/>
    <w:unhideWhenUsed/>
    <w:rPr>
      <w:color w:val="0000ff"/>
      <w:u w:val="single"/>
    </w:rPr>
  </w:style>
  <w:style w:type="numbering" w:styleId="789" w:customStyle="1">
    <w:name w:val="Нет списка11"/>
    <w:next w:val="744"/>
    <w:uiPriority w:val="99"/>
    <w:semiHidden/>
  </w:style>
  <w:style w:type="table" w:styleId="790" w:customStyle="1">
    <w:name w:val="Сетка таблицы2"/>
    <w:basedOn w:val="743"/>
    <w:next w:val="762"/>
    <w:uiPriority w:val="9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91" w:customStyle="1">
    <w:name w:val="Основной текст (5)_"/>
    <w:link w:val="792"/>
    <w:rPr>
      <w:b/>
      <w:bCs/>
      <w:spacing w:val="-5"/>
      <w:sz w:val="26"/>
      <w:szCs w:val="26"/>
      <w:shd w:val="clear" w:color="auto" w:fill="ffffff"/>
    </w:rPr>
  </w:style>
  <w:style w:type="paragraph" w:styleId="792" w:customStyle="1">
    <w:name w:val="Основной текст (5)"/>
    <w:basedOn w:val="739"/>
    <w:link w:val="791"/>
    <w:pPr>
      <w:jc w:val="center"/>
      <w:spacing w:before="1200" w:line="326" w:lineRule="exact"/>
      <w:shd w:val="clear" w:color="auto" w:fill="ffffff"/>
      <w:widowControl w:val="off"/>
    </w:pPr>
    <w:rPr>
      <w:b/>
      <w:bCs/>
      <w:spacing w:val="-5"/>
      <w:sz w:val="26"/>
      <w:szCs w:val="26"/>
    </w:rPr>
  </w:style>
  <w:style w:type="table" w:styleId="793" w:customStyle="1">
    <w:name w:val="Сетка таблицы11"/>
    <w:basedOn w:val="743"/>
    <w:next w:val="762"/>
    <w:uiPriority w:val="59"/>
    <w:pPr>
      <w:jc w:val="both"/>
    </w:pPr>
    <w:rPr>
      <w:rFonts w:eastAsia="Calibri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794" w:customStyle="1">
    <w:name w:val="Нет списка111"/>
    <w:next w:val="744"/>
    <w:uiPriority w:val="99"/>
    <w:semiHidden/>
    <w:unhideWhenUsed/>
  </w:style>
  <w:style w:type="table" w:styleId="795" w:customStyle="1">
    <w:name w:val="Сетка таблицы21"/>
    <w:basedOn w:val="743"/>
    <w:next w:val="762"/>
    <w:uiPriority w:val="59"/>
    <w:pPr>
      <w:jc w:val="both"/>
    </w:pPr>
    <w:rPr>
      <w:rFonts w:eastAsia="Calibri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96">
    <w:name w:val="FollowedHyperlink"/>
    <w:uiPriority w:val="99"/>
    <w:unhideWhenUsed/>
    <w:rPr>
      <w:color w:val="800080"/>
      <w:u w:val="single"/>
    </w:rPr>
  </w:style>
  <w:style w:type="table" w:styleId="797" w:customStyle="1">
    <w:name w:val="Сетка таблицы111"/>
    <w:basedOn w:val="743"/>
    <w:next w:val="762"/>
    <w:uiPriority w:val="9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 w:customStyle="1">
    <w:name w:val="Сетка таблицы1111"/>
    <w:basedOn w:val="743"/>
    <w:uiPriority w:val="59"/>
    <w:pPr>
      <w:jc w:val="both"/>
    </w:pPr>
    <w:rPr>
      <w:rFonts w:eastAsia="Calibri"/>
      <w:sz w:val="28"/>
      <w:szCs w:val="28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799" w:customStyle="1">
    <w:name w:val="Нет списка21"/>
    <w:next w:val="744"/>
    <w:uiPriority w:val="99"/>
    <w:semiHidden/>
    <w:unhideWhenUsed/>
  </w:style>
  <w:style w:type="character" w:styleId="800">
    <w:name w:val="Hyperlink"/>
    <w:basedOn w:val="742"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1FF2-D31C-4437-99CD-23E010B8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LinksUpToDate>false</LinksUpToDate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31</cp:revision>
  <dcterms:created xsi:type="dcterms:W3CDTF">2022-02-09T10:12:00Z</dcterms:created>
  <dcterms:modified xsi:type="dcterms:W3CDTF">2025-03-28T06:48:21Z</dcterms:modified>
</cp:coreProperties>
</file>