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6E6E53" w:rsidRPr="006E6E53" w:rsidRDefault="00655EAC" w:rsidP="006E6E53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 xml:space="preserve">О внесении дополнений в постановление </w:t>
            </w:r>
          </w:p>
          <w:p w:rsidR="00055D03" w:rsidRDefault="006E6E53" w:rsidP="006E6E53">
            <w:pPr>
              <w:rPr>
                <w:b/>
                <w:color w:val="000000" w:themeColor="text1"/>
                <w:sz w:val="24"/>
                <w:szCs w:val="24"/>
              </w:rPr>
            </w:pPr>
            <w:r w:rsidRPr="006E6E53">
              <w:rPr>
                <w:b/>
                <w:color w:val="000000" w:themeColor="text1"/>
                <w:sz w:val="24"/>
                <w:szCs w:val="24"/>
              </w:rPr>
              <w:t>администрации  Вейделевского района от 06 февраля 2024 года №41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6E6E53">
              <w:rPr>
                <w:sz w:val="24"/>
                <w:szCs w:val="24"/>
              </w:rPr>
              <w:t>29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8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6E6E53">
              <w:rPr>
                <w:sz w:val="24"/>
                <w:szCs w:val="24"/>
              </w:rPr>
              <w:t>1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0622F0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6E6E53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6E6E53" w:rsidRPr="006E6E53">
              <w:rPr>
                <w:color w:val="000000" w:themeColor="text1"/>
                <w:sz w:val="24"/>
                <w:szCs w:val="24"/>
              </w:rPr>
              <w:t>О внесении дополнений в постановление администрации  Вейделевского района от 06 февраля 2024 года №41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6E6E53">
              <w:rPr>
                <w:sz w:val="24"/>
                <w:szCs w:val="24"/>
              </w:rPr>
              <w:t>29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8</w:t>
            </w:r>
            <w:r w:rsidR="004E209F" w:rsidRPr="004E209F">
              <w:rPr>
                <w:sz w:val="24"/>
                <w:szCs w:val="24"/>
              </w:rPr>
              <w:t xml:space="preserve">.2024 года по </w:t>
            </w:r>
            <w:r w:rsidR="006E6E53">
              <w:rPr>
                <w:sz w:val="24"/>
                <w:szCs w:val="24"/>
              </w:rPr>
              <w:t>11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6E6E53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>О внесении дополнений в постановление администрации  Вейделевского района от 06 февраля 2024 года №41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6E6E53" w:rsidRDefault="006E6E53" w:rsidP="006E6E53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446907" r:id="rId7"/>
        </w:object>
      </w:r>
    </w:p>
    <w:p w:rsidR="006E6E53" w:rsidRPr="006016FB" w:rsidRDefault="006E6E53" w:rsidP="006E6E53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6E53" w:rsidRPr="006016FB" w:rsidRDefault="006E6E53" w:rsidP="006E6E53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6E53" w:rsidRPr="006016FB" w:rsidRDefault="006E6E53" w:rsidP="006E6E53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6E53" w:rsidRPr="00F36F5B" w:rsidRDefault="006E6E53" w:rsidP="006E6E53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6E53" w:rsidRDefault="006E6E53" w:rsidP="006E6E53">
      <w:pPr>
        <w:jc w:val="center"/>
        <w:rPr>
          <w:b/>
          <w:bCs/>
        </w:rPr>
      </w:pPr>
    </w:p>
    <w:p w:rsidR="006E6E53" w:rsidRDefault="006E6E53" w:rsidP="006E6E53">
      <w:pPr>
        <w:jc w:val="center"/>
        <w:rPr>
          <w:b/>
          <w:bCs/>
        </w:rPr>
      </w:pPr>
    </w:p>
    <w:p w:rsidR="006E6E53" w:rsidRDefault="006E6E53" w:rsidP="006E6E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D1450E">
        <w:rPr>
          <w:bCs/>
          <w:sz w:val="28"/>
          <w:szCs w:val="28"/>
        </w:rPr>
        <w:t xml:space="preserve"> г.                </w:t>
      </w:r>
      <w:r>
        <w:rPr>
          <w:bCs/>
          <w:sz w:val="28"/>
          <w:szCs w:val="28"/>
        </w:rPr>
        <w:t xml:space="preserve">                            </w:t>
      </w:r>
      <w:r w:rsidRPr="00D1450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6E53" w:rsidRDefault="006E6E53" w:rsidP="006E6E53">
      <w:pPr>
        <w:rPr>
          <w:bCs/>
          <w:sz w:val="28"/>
          <w:szCs w:val="28"/>
        </w:rPr>
      </w:pPr>
    </w:p>
    <w:p w:rsidR="006E6E53" w:rsidRDefault="006E6E53" w:rsidP="006E6E53">
      <w:pPr>
        <w:rPr>
          <w:bCs/>
          <w:sz w:val="28"/>
          <w:szCs w:val="28"/>
        </w:rPr>
      </w:pPr>
    </w:p>
    <w:p w:rsidR="006E6E53" w:rsidRPr="00BA71DA" w:rsidRDefault="006E6E53" w:rsidP="006E6E53">
      <w:pPr>
        <w:rPr>
          <w:bCs/>
          <w:sz w:val="28"/>
          <w:szCs w:val="28"/>
        </w:rPr>
      </w:pPr>
    </w:p>
    <w:p w:rsidR="006E6E53" w:rsidRDefault="006E6E53" w:rsidP="006E6E53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в постановление </w:t>
      </w:r>
    </w:p>
    <w:p w:rsidR="006E6E53" w:rsidRDefault="006E6E53" w:rsidP="006E6E53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Вейделевского района </w:t>
      </w:r>
    </w:p>
    <w:p w:rsidR="006E6E53" w:rsidRDefault="006E6E53" w:rsidP="006E6E53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 февраля 2024 года №41</w:t>
      </w:r>
    </w:p>
    <w:p w:rsidR="006E6E53" w:rsidRDefault="006E6E53" w:rsidP="006E6E53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6E53" w:rsidRDefault="006E6E53" w:rsidP="006E6E53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6E53" w:rsidRPr="00BA71DA" w:rsidRDefault="006E6E53" w:rsidP="006E6E53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6E53" w:rsidRDefault="006E6E53" w:rsidP="006E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Вейделевского района в соответствие с действующим законодательством, руководствуясь п.5 ст.11.2 Федерального закона от 27.10.2010 №210-ФЗ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</w:r>
      <w:proofErr w:type="gramStart"/>
      <w:r w:rsidRPr="0055226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6E6E53" w:rsidRDefault="006E6E53" w:rsidP="006E6E53">
      <w:pPr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дополнения</w:t>
      </w:r>
      <w:r w:rsidRPr="003665F4">
        <w:rPr>
          <w:sz w:val="28"/>
          <w:szCs w:val="28"/>
        </w:rPr>
        <w:t xml:space="preserve"> в постановление администрации  Вейделевского района от </w:t>
      </w:r>
      <w:r>
        <w:rPr>
          <w:sz w:val="28"/>
          <w:szCs w:val="28"/>
        </w:rPr>
        <w:t>06 февраля</w:t>
      </w:r>
      <w:r w:rsidRPr="003665F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41</w:t>
      </w:r>
      <w:r w:rsidRPr="003665F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 на территории Вейделевского района Белгородской области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E6E53" w:rsidRDefault="006E6E53" w:rsidP="006E6E53">
      <w:pPr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</w:t>
      </w:r>
      <w:r w:rsidRPr="003665F4">
        <w:rPr>
          <w:sz w:val="28"/>
          <w:szCs w:val="28"/>
        </w:rPr>
        <w:t>«</w:t>
      </w:r>
      <w:r>
        <w:rPr>
          <w:sz w:val="28"/>
          <w:szCs w:val="28"/>
        </w:rPr>
        <w:t>Передача жилых помещений в собственность граждан (приватизация)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постановлением администрации Вейделевского района от 06 февраля</w:t>
      </w:r>
      <w:r w:rsidRPr="003665F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41</w:t>
      </w:r>
      <w:r w:rsidR="000622F0">
        <w:rPr>
          <w:sz w:val="28"/>
          <w:szCs w:val="28"/>
        </w:rPr>
        <w:t xml:space="preserve"> следующего содержания</w:t>
      </w:r>
      <w:bookmarkStart w:id="0" w:name="_GoBack"/>
      <w:bookmarkEnd w:id="0"/>
      <w:r>
        <w:rPr>
          <w:sz w:val="28"/>
          <w:szCs w:val="28"/>
        </w:rPr>
        <w:t>: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57D">
        <w:rPr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</w:t>
      </w:r>
      <w:r w:rsidRPr="006B757D">
        <w:rPr>
          <w:sz w:val="28"/>
          <w:szCs w:val="28"/>
        </w:rPr>
        <w:lastRenderedPageBreak/>
        <w:t xml:space="preserve">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5.2.4. </w:t>
      </w:r>
      <w:proofErr w:type="gramStart"/>
      <w:r w:rsidRPr="006B757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B757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B757D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  <w:proofErr w:type="gramEnd"/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5.2.5.1.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</w:t>
      </w:r>
      <w:r w:rsidRPr="006B757D">
        <w:rPr>
          <w:sz w:val="28"/>
          <w:szCs w:val="28"/>
        </w:rPr>
        <w:lastRenderedPageBreak/>
        <w:t xml:space="preserve">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5.2.5.2. </w:t>
      </w:r>
      <w:proofErr w:type="gramStart"/>
      <w:r w:rsidRPr="006B757D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6B757D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5.2.6. </w:t>
      </w:r>
      <w:proofErr w:type="gramStart"/>
      <w:r w:rsidRPr="006B757D">
        <w:rPr>
          <w:sz w:val="28"/>
          <w:szCs w:val="28"/>
        </w:rPr>
        <w:t xml:space="preserve"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  <w:proofErr w:type="gramEnd"/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5.2.7. Жалоба должна содержать: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  <w:proofErr w:type="gramEnd"/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lastRenderedPageBreak/>
        <w:t xml:space="preserve">5.2.8. </w:t>
      </w:r>
      <w:proofErr w:type="gramStart"/>
      <w:r w:rsidRPr="006B757D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</w:t>
      </w:r>
      <w:proofErr w:type="gramEnd"/>
      <w:r w:rsidRPr="006B757D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в удовлетворении жалобы отказывается.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 Не позднее дня, следующего за днем принятия решения, указанного в части 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757D">
        <w:rPr>
          <w:sz w:val="28"/>
          <w:szCs w:val="28"/>
        </w:rPr>
        <w:t>неудобства</w:t>
      </w:r>
      <w:proofErr w:type="gramEnd"/>
      <w:r w:rsidRPr="006B757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5.2.10.2. В случае признания </w:t>
      </w:r>
      <w:proofErr w:type="gramStart"/>
      <w:r w:rsidRPr="006B757D">
        <w:rPr>
          <w:sz w:val="28"/>
          <w:szCs w:val="28"/>
        </w:rPr>
        <w:t>жалобы</w:t>
      </w:r>
      <w:proofErr w:type="gramEnd"/>
      <w:r w:rsidRPr="006B757D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6E53" w:rsidRPr="006B757D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5.2.11. В случае установления в ходе или по результатам </w:t>
      </w:r>
      <w:proofErr w:type="gramStart"/>
      <w:r w:rsidRPr="006B757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B757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6E6E53" w:rsidRDefault="006E6E53" w:rsidP="006E6E53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</w:t>
      </w:r>
      <w:r>
        <w:rPr>
          <w:sz w:val="28"/>
          <w:szCs w:val="28"/>
        </w:rPr>
        <w:t>ном от 2 мая 2006 года №59-ФЗ «</w:t>
      </w:r>
      <w:r w:rsidRPr="006B757D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Федерации».</w:t>
      </w:r>
    </w:p>
    <w:p w:rsidR="006E6E53" w:rsidRDefault="006E6E53" w:rsidP="006E6E53">
      <w:pPr>
        <w:numPr>
          <w:ilvl w:val="0"/>
          <w:numId w:val="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 xml:space="preserve">района – начальнику </w:t>
      </w:r>
      <w:r w:rsidRPr="002473F8">
        <w:rPr>
          <w:sz w:val="28"/>
          <w:szCs w:val="28"/>
          <w:lang w:eastAsia="en-US"/>
        </w:rPr>
        <w:lastRenderedPageBreak/>
        <w:t xml:space="preserve">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Вейделевского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E6E53" w:rsidRPr="009A12B7" w:rsidRDefault="006E6E53" w:rsidP="006E6E53">
      <w:pPr>
        <w:numPr>
          <w:ilvl w:val="0"/>
          <w:numId w:val="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Вейделевского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6E6E53" w:rsidRDefault="006E6E53" w:rsidP="006E6E53">
      <w:pPr>
        <w:numPr>
          <w:ilvl w:val="0"/>
          <w:numId w:val="8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proofErr w:type="gramStart"/>
      <w:r w:rsidRPr="006C02AB">
        <w:rPr>
          <w:sz w:val="28"/>
          <w:szCs w:val="28"/>
        </w:rPr>
        <w:t>Контроль за</w:t>
      </w:r>
      <w:proofErr w:type="gramEnd"/>
      <w:r w:rsidRPr="006C02AB">
        <w:rPr>
          <w:sz w:val="28"/>
          <w:szCs w:val="28"/>
        </w:rPr>
        <w:t xml:space="preserve"> выполнением данного </w:t>
      </w:r>
      <w:r>
        <w:rPr>
          <w:sz w:val="28"/>
          <w:szCs w:val="28"/>
        </w:rPr>
        <w:t>постановления</w:t>
      </w:r>
      <w:r w:rsidRPr="006C02AB">
        <w:rPr>
          <w:sz w:val="28"/>
          <w:szCs w:val="28"/>
        </w:rPr>
        <w:t xml:space="preserve"> возложить на заместителя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</w:t>
      </w:r>
      <w:r>
        <w:rPr>
          <w:sz w:val="28"/>
          <w:szCs w:val="28"/>
        </w:rPr>
        <w:t xml:space="preserve">рации Вейделевского района          </w:t>
      </w:r>
      <w:r w:rsidRPr="006C02AB">
        <w:rPr>
          <w:sz w:val="28"/>
          <w:szCs w:val="28"/>
        </w:rPr>
        <w:t xml:space="preserve">Г.Н. </w:t>
      </w:r>
      <w:proofErr w:type="spellStart"/>
      <w:r w:rsidRPr="006C02AB"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6E6E53" w:rsidRDefault="006E6E53" w:rsidP="006E6E53">
      <w:pPr>
        <w:ind w:left="708"/>
        <w:jc w:val="both"/>
        <w:rPr>
          <w:sz w:val="26"/>
          <w:szCs w:val="26"/>
        </w:rPr>
      </w:pPr>
    </w:p>
    <w:p w:rsidR="006E6E53" w:rsidRDefault="006E6E53" w:rsidP="006E6E53">
      <w:pPr>
        <w:ind w:left="708"/>
        <w:jc w:val="both"/>
        <w:rPr>
          <w:sz w:val="26"/>
          <w:szCs w:val="26"/>
        </w:rPr>
      </w:pPr>
    </w:p>
    <w:p w:rsidR="006E6E53" w:rsidRDefault="006E6E53" w:rsidP="006E6E53">
      <w:pPr>
        <w:ind w:left="708"/>
        <w:jc w:val="both"/>
        <w:rPr>
          <w:sz w:val="26"/>
          <w:szCs w:val="26"/>
        </w:rPr>
      </w:pPr>
    </w:p>
    <w:p w:rsidR="006E6E53" w:rsidRDefault="006E6E53" w:rsidP="006E6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E6E53" w:rsidRDefault="006E6E53" w:rsidP="006E6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Вейделевского района                                                                   А. Самойлова</w:t>
      </w:r>
    </w:p>
    <w:p w:rsidR="006E6E53" w:rsidRDefault="006E6E53" w:rsidP="006E6E53">
      <w:pPr>
        <w:jc w:val="both"/>
        <w:rPr>
          <w:b/>
          <w:sz w:val="28"/>
          <w:szCs w:val="28"/>
        </w:rPr>
      </w:pPr>
    </w:p>
    <w:p w:rsidR="00292739" w:rsidRPr="0030535C" w:rsidRDefault="00292739" w:rsidP="006E6E53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8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622F0"/>
    <w:rsid w:val="000C6727"/>
    <w:rsid w:val="00126F1F"/>
    <w:rsid w:val="00145352"/>
    <w:rsid w:val="001A3657"/>
    <w:rsid w:val="001C2433"/>
    <w:rsid w:val="001D19F2"/>
    <w:rsid w:val="001E27EC"/>
    <w:rsid w:val="00244FAD"/>
    <w:rsid w:val="00280FC4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B772D"/>
    <w:rsid w:val="006E0726"/>
    <w:rsid w:val="006E6E53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3</cp:revision>
  <dcterms:created xsi:type="dcterms:W3CDTF">2024-08-29T10:32:00Z</dcterms:created>
  <dcterms:modified xsi:type="dcterms:W3CDTF">2024-08-29T11:29:00Z</dcterms:modified>
</cp:coreProperties>
</file>